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30B5" w14:textId="597C9B9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F94820">
        <w:rPr>
          <w:rFonts w:ascii="Arial" w:eastAsia="SimSun" w:hAnsi="Arial" w:cs="Times New Roman"/>
          <w:b/>
          <w:sz w:val="24"/>
          <w:szCs w:val="20"/>
          <w:lang w:eastAsia="ja-JP"/>
        </w:rPr>
        <w:t>R4-</w:t>
      </w:r>
      <w:r w:rsidR="00AE2BA5" w:rsidRPr="00F94820">
        <w:rPr>
          <w:rFonts w:ascii="Arial" w:eastAsia="SimSun" w:hAnsi="Arial" w:cs="Times New Roman"/>
          <w:b/>
          <w:bCs/>
          <w:sz w:val="24"/>
          <w:szCs w:val="20"/>
          <w:lang w:eastAsia="zh-CN"/>
        </w:rPr>
        <w:t>2</w:t>
      </w:r>
      <w:r w:rsidR="00A07BCD" w:rsidRPr="00F94820">
        <w:rPr>
          <w:rFonts w:ascii="Arial" w:eastAsia="SimSun" w:hAnsi="Arial" w:cs="Times New Roman"/>
          <w:b/>
          <w:bCs/>
          <w:sz w:val="24"/>
          <w:szCs w:val="20"/>
          <w:lang w:eastAsia="zh-CN"/>
        </w:rPr>
        <w:t>3</w:t>
      </w:r>
      <w:r w:rsidR="00F94820">
        <w:rPr>
          <w:rFonts w:ascii="Arial" w:eastAsia="SimSun" w:hAnsi="Arial" w:cs="Times New Roman"/>
          <w:b/>
          <w:bCs/>
          <w:sz w:val="24"/>
          <w:szCs w:val="20"/>
          <w:lang w:eastAsia="zh-CN"/>
        </w:rPr>
        <w:t>08629</w:t>
      </w:r>
    </w:p>
    <w:p w14:paraId="20E28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D01AF7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4B52BF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564845D" w14:textId="771F5A4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B5788">
        <w:rPr>
          <w:rFonts w:ascii="Arial" w:eastAsia="Calibri" w:hAnsi="Arial" w:cs="Arial"/>
          <w:b/>
          <w:bCs/>
          <w:sz w:val="24"/>
        </w:rPr>
        <w:t>Simulation results for SBFD adjacent channel evaluation</w:t>
      </w:r>
    </w:p>
    <w:p w14:paraId="1C36B143" w14:textId="512F578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B5788">
        <w:rPr>
          <w:rFonts w:ascii="Arial" w:eastAsia="MS Mincho" w:hAnsi="Arial" w:cs="Arial"/>
          <w:b/>
          <w:bCs/>
          <w:sz w:val="24"/>
          <w:szCs w:val="20"/>
        </w:rPr>
        <w:t>8.20.2.1</w:t>
      </w:r>
    </w:p>
    <w:p w14:paraId="793B2A2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DCC4F89" w14:textId="77777777" w:rsidR="00E323E9" w:rsidRPr="008C39F7" w:rsidRDefault="00E323E9" w:rsidP="00841BCD">
      <w:pPr>
        <w:tabs>
          <w:tab w:val="left" w:pos="1985"/>
        </w:tabs>
        <w:rPr>
          <w:rFonts w:ascii="Arial" w:eastAsia="Calibri" w:hAnsi="Arial" w:cs="Arial"/>
          <w:b/>
          <w:bCs/>
          <w:sz w:val="24"/>
        </w:rPr>
      </w:pPr>
    </w:p>
    <w:p w14:paraId="52143E4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0572F2E" w14:textId="6A926515" w:rsidR="00511870" w:rsidRDefault="00511870" w:rsidP="00511870">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The new RAN1/RAN4 study item on evolution of duplex operation for NR TDD systems in unpaired spectrum was adopted </w:t>
      </w:r>
      <w:r>
        <w:rPr>
          <w:rStyle w:val="normaltextrun"/>
          <w:sz w:val="20"/>
          <w:szCs w:val="20"/>
        </w:rPr>
        <w:fldChar w:fldCharType="begin"/>
      </w:r>
      <w:r>
        <w:rPr>
          <w:rStyle w:val="normaltextrun"/>
          <w:sz w:val="20"/>
          <w:szCs w:val="20"/>
        </w:rPr>
        <w:instrText xml:space="preserve"> REF _Ref133827377 \r \h </w:instrText>
      </w:r>
      <w:r>
        <w:rPr>
          <w:rStyle w:val="normaltextrun"/>
          <w:sz w:val="20"/>
          <w:szCs w:val="20"/>
        </w:rPr>
      </w:r>
      <w:r>
        <w:rPr>
          <w:rStyle w:val="normaltextrun"/>
          <w:sz w:val="20"/>
          <w:szCs w:val="20"/>
        </w:rPr>
        <w:fldChar w:fldCharType="separate"/>
      </w:r>
      <w:r w:rsidR="003230CF">
        <w:rPr>
          <w:rStyle w:val="normaltextrun"/>
          <w:sz w:val="20"/>
          <w:szCs w:val="20"/>
        </w:rPr>
        <w:t>[1]</w:t>
      </w:r>
      <w:r>
        <w:rPr>
          <w:rStyle w:val="normaltextrun"/>
          <w:sz w:val="20"/>
          <w:szCs w:val="20"/>
        </w:rPr>
        <w:fldChar w:fldCharType="end"/>
      </w:r>
      <w:r>
        <w:rPr>
          <w:rStyle w:val="normaltextrun"/>
          <w:sz w:val="20"/>
          <w:szCs w:val="20"/>
        </w:rPr>
        <w:t>. The assumptions are listed as follows:</w:t>
      </w:r>
      <w:r>
        <w:rPr>
          <w:rStyle w:val="eop"/>
          <w:sz w:val="20"/>
          <w:szCs w:val="20"/>
        </w:rPr>
        <w:t> </w:t>
      </w:r>
    </w:p>
    <w:p w14:paraId="2BB9A50B" w14:textId="77777777" w:rsidR="00511870" w:rsidRDefault="00511870" w:rsidP="00511870">
      <w:pPr>
        <w:pStyle w:val="paragraph"/>
        <w:numPr>
          <w:ilvl w:val="0"/>
          <w:numId w:val="27"/>
        </w:numPr>
        <w:spacing w:before="0" w:beforeAutospacing="0" w:after="0" w:afterAutospacing="0"/>
        <w:ind w:firstLine="270"/>
        <w:jc w:val="both"/>
        <w:textAlignment w:val="baseline"/>
        <w:rPr>
          <w:sz w:val="22"/>
          <w:szCs w:val="22"/>
        </w:rPr>
      </w:pPr>
      <w:r>
        <w:rPr>
          <w:rStyle w:val="normaltextrun"/>
          <w:sz w:val="20"/>
          <w:szCs w:val="20"/>
          <w:lang w:val="en-GB"/>
        </w:rPr>
        <w:t>Duplex enhancement at the gNB side</w:t>
      </w:r>
      <w:r>
        <w:rPr>
          <w:rStyle w:val="eop"/>
          <w:sz w:val="20"/>
          <w:szCs w:val="20"/>
        </w:rPr>
        <w:t> </w:t>
      </w:r>
    </w:p>
    <w:p w14:paraId="0BFD6CB8" w14:textId="77777777" w:rsidR="00511870" w:rsidRDefault="00511870" w:rsidP="00511870">
      <w:pPr>
        <w:pStyle w:val="paragraph"/>
        <w:numPr>
          <w:ilvl w:val="0"/>
          <w:numId w:val="28"/>
        </w:numPr>
        <w:spacing w:before="0" w:beforeAutospacing="0" w:after="0" w:afterAutospacing="0"/>
        <w:ind w:firstLine="270"/>
        <w:jc w:val="both"/>
        <w:textAlignment w:val="baseline"/>
        <w:rPr>
          <w:sz w:val="22"/>
          <w:szCs w:val="22"/>
        </w:rPr>
      </w:pPr>
      <w:r>
        <w:rPr>
          <w:rStyle w:val="normaltextrun"/>
          <w:sz w:val="20"/>
          <w:szCs w:val="20"/>
          <w:lang w:val="en-GB"/>
        </w:rPr>
        <w:t>Half duplex operation at the UE side</w:t>
      </w:r>
      <w:r>
        <w:rPr>
          <w:rStyle w:val="eop"/>
          <w:sz w:val="20"/>
          <w:szCs w:val="20"/>
        </w:rPr>
        <w:t> </w:t>
      </w:r>
    </w:p>
    <w:p w14:paraId="144088EB" w14:textId="77777777" w:rsidR="00511870" w:rsidRDefault="00511870" w:rsidP="00511870">
      <w:pPr>
        <w:pStyle w:val="paragraph"/>
        <w:numPr>
          <w:ilvl w:val="0"/>
          <w:numId w:val="28"/>
        </w:numPr>
        <w:spacing w:before="0" w:beforeAutospacing="0" w:after="0" w:afterAutospacing="0"/>
        <w:ind w:firstLine="270"/>
        <w:jc w:val="both"/>
        <w:textAlignment w:val="baseline"/>
        <w:rPr>
          <w:sz w:val="22"/>
          <w:szCs w:val="22"/>
        </w:rPr>
      </w:pPr>
      <w:r>
        <w:rPr>
          <w:rStyle w:val="normaltextrun"/>
          <w:sz w:val="20"/>
          <w:szCs w:val="20"/>
          <w:lang w:val="en-GB"/>
        </w:rPr>
        <w:t>No restriction on frequency ranges</w:t>
      </w:r>
      <w:r>
        <w:rPr>
          <w:rStyle w:val="eop"/>
          <w:sz w:val="20"/>
          <w:szCs w:val="20"/>
        </w:rPr>
        <w:t> </w:t>
      </w:r>
    </w:p>
    <w:p w14:paraId="0AD14A15" w14:textId="77777777" w:rsidR="00511870" w:rsidRDefault="00511870" w:rsidP="00511870">
      <w:pPr>
        <w:pStyle w:val="paragraph"/>
        <w:spacing w:before="0" w:beforeAutospacing="0" w:after="240" w:afterAutospacing="0"/>
        <w:jc w:val="both"/>
        <w:textAlignment w:val="baseline"/>
        <w:rPr>
          <w:rFonts w:ascii="Segoe UI" w:hAnsi="Segoe UI" w:cs="Segoe UI"/>
          <w:sz w:val="18"/>
          <w:szCs w:val="18"/>
        </w:rPr>
      </w:pPr>
      <w:r>
        <w:rPr>
          <w:rStyle w:val="normaltextrun"/>
          <w:sz w:val="20"/>
          <w:szCs w:val="20"/>
        </w:rPr>
        <w:t>While the work item objectives are the following:</w:t>
      </w:r>
      <w:r>
        <w:rPr>
          <w:rStyle w:val="eop"/>
          <w:sz w:val="20"/>
          <w:szCs w:val="20"/>
        </w:rPr>
        <w:t> </w:t>
      </w:r>
    </w:p>
    <w:tbl>
      <w:tblPr>
        <w:tblStyle w:val="TableGrid"/>
        <w:tblW w:w="0" w:type="auto"/>
        <w:tblLook w:val="04A0" w:firstRow="1" w:lastRow="0" w:firstColumn="1" w:lastColumn="0" w:noHBand="0" w:noVBand="1"/>
      </w:tblPr>
      <w:tblGrid>
        <w:gridCol w:w="9617"/>
      </w:tblGrid>
      <w:tr w:rsidR="00511870" w14:paraId="257BA6B9" w14:textId="77777777" w:rsidTr="723EBF24">
        <w:tc>
          <w:tcPr>
            <w:tcW w:w="9617" w:type="dxa"/>
          </w:tcPr>
          <w:p w14:paraId="74FEE6E1" w14:textId="257ADE3E"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Identify applicable and relevant deployment scenarios (RAN1).</w:t>
            </w:r>
          </w:p>
          <w:p w14:paraId="14443050" w14:textId="63D8CF93"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Develop evaluation methodology for duplex enhancement (RAN1).</w:t>
            </w:r>
          </w:p>
          <w:p w14:paraId="523F6D1E" w14:textId="73EC24CD"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Study the subband non-overlapping full duplex and potential enhancements on dynamic/flexible TDD (RAN1, RAN4).</w:t>
            </w:r>
          </w:p>
          <w:p w14:paraId="47ECAF8E" w14:textId="263D279D"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Identify possible schemes and evaluate their feasibility and performances (RAN1).</w:t>
            </w:r>
          </w:p>
          <w:p w14:paraId="0FE33D06" w14:textId="1E214D1F"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 xml:space="preserve">Study inter-gNB and inter-UE CLI handling and identify solutions to manage them (RAN1). </w:t>
            </w:r>
          </w:p>
          <w:p w14:paraId="13002988" w14:textId="7203D66A" w:rsidR="01F4FAF5" w:rsidRDefault="2F60A4C6" w:rsidP="723EBF24">
            <w:pPr>
              <w:pStyle w:val="ListParagraph"/>
              <w:numPr>
                <w:ilvl w:val="1"/>
                <w:numId w:val="27"/>
              </w:numPr>
              <w:jc w:val="both"/>
              <w:rPr>
                <w:rFonts w:eastAsia="Times New Roman" w:cs="Times New Roman"/>
                <w:szCs w:val="20"/>
              </w:rPr>
            </w:pPr>
            <w:r w:rsidRPr="723EBF24">
              <w:rPr>
                <w:rFonts w:eastAsia="Times New Roman" w:cs="Times New Roman"/>
                <w:szCs w:val="20"/>
              </w:rPr>
              <w:t>Consider intra-subband CLI and inter-subband CLI in case of the subband non-overlapping full duplex.</w:t>
            </w:r>
          </w:p>
          <w:p w14:paraId="38DC4DD0" w14:textId="4B4D8A26"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Study the performance of the identified schemes as well as the impact on legacy operation assuming their co-existence in co-channel and adjacent channels (RAN1).</w:t>
            </w:r>
          </w:p>
          <w:p w14:paraId="1E7E2CF2" w14:textId="63E0830B" w:rsidR="01F4FAF5" w:rsidRPr="00D41049" w:rsidRDefault="2F60A4C6" w:rsidP="723EBF24">
            <w:pPr>
              <w:pStyle w:val="ListParagraph"/>
              <w:numPr>
                <w:ilvl w:val="0"/>
                <w:numId w:val="27"/>
              </w:numPr>
              <w:jc w:val="both"/>
              <w:rPr>
                <w:rFonts w:eastAsia="Times New Roman" w:cs="Times New Roman"/>
                <w:szCs w:val="20"/>
                <w:highlight w:val="cyan"/>
              </w:rPr>
            </w:pPr>
            <w:r w:rsidRPr="00D41049">
              <w:rPr>
                <w:rFonts w:eastAsia="Times New Roman" w:cs="Times New Roman"/>
                <w:szCs w:val="20"/>
                <w:highlight w:val="cyan"/>
              </w:rPr>
              <w:t>Study the feasibility of and impact on RF requirements considering adjacent-channel co-existence with the legacy operation (RAN4).</w:t>
            </w:r>
          </w:p>
          <w:p w14:paraId="014A83EE" w14:textId="6A675461"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Study the feasibility of and impact on RF requirements considering the self-interference, the inter-subband CLI, and the inter-operator CLI at gNB and the inter-subband CLI and inter-operator CLI at UE (RAN4).</w:t>
            </w:r>
          </w:p>
          <w:p w14:paraId="07CB7DDD" w14:textId="4A205F33" w:rsidR="01F4FAF5"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B12F98" w14:textId="2549D19C" w:rsidR="00511870" w:rsidRDefault="2F60A4C6" w:rsidP="723EBF24">
            <w:pPr>
              <w:pStyle w:val="ListParagraph"/>
              <w:numPr>
                <w:ilvl w:val="0"/>
                <w:numId w:val="27"/>
              </w:numPr>
              <w:jc w:val="both"/>
              <w:rPr>
                <w:rFonts w:eastAsia="Times New Roman" w:cs="Times New Roman"/>
                <w:szCs w:val="20"/>
              </w:rPr>
            </w:pPr>
            <w:r w:rsidRPr="723EBF24">
              <w:rPr>
                <w:rFonts w:eastAsia="Times New Roman" w:cs="Times New Roman"/>
                <w:szCs w:val="20"/>
              </w:rPr>
              <w:t>Summarize the regulatory aspects that have to be considered for deploying the identified duplex enhancements in TDD unpaired spectrum (RAN4).</w:t>
            </w:r>
          </w:p>
        </w:tc>
      </w:tr>
    </w:tbl>
    <w:p w14:paraId="414C92CC" w14:textId="77777777" w:rsidR="00511870" w:rsidRDefault="00511870" w:rsidP="005C23A4"/>
    <w:p w14:paraId="2129B72A" w14:textId="4AD16FC0" w:rsidR="0060543D" w:rsidRPr="008C39F7" w:rsidRDefault="4EF5F99C" w:rsidP="005C23A4">
      <w:r>
        <w:t xml:space="preserve"> In</w:t>
      </w:r>
      <w:r w:rsidR="779AC3F1">
        <w:t xml:space="preserve"> the last RAN4 meeting, a way forward on simulation assumptions for the adjacent channel coexistence study was agreed in </w:t>
      </w:r>
      <w:r w:rsidR="00D845D0">
        <w:fldChar w:fldCharType="begin"/>
      </w:r>
      <w:r w:rsidR="00D845D0">
        <w:instrText xml:space="preserve"> REF _Ref133827387 \r \h </w:instrText>
      </w:r>
      <w:r w:rsidR="00D845D0">
        <w:fldChar w:fldCharType="separate"/>
      </w:r>
      <w:r w:rsidR="003230CF">
        <w:t>[2]</w:t>
      </w:r>
      <w:r w:rsidR="00D845D0">
        <w:fldChar w:fldCharType="end"/>
      </w:r>
      <w:r w:rsidR="10711FC7">
        <w:t xml:space="preserve">, </w:t>
      </w:r>
      <w:r w:rsidR="779AC3F1">
        <w:t>another way forward was agreed for the UMa-to-Umi scenario coexistence study</w:t>
      </w:r>
      <w:r w:rsidR="10711FC7">
        <w:t xml:space="preserve"> in </w:t>
      </w:r>
      <w:r w:rsidR="00D845D0">
        <w:fldChar w:fldCharType="begin"/>
      </w:r>
      <w:r w:rsidR="00D845D0">
        <w:instrText xml:space="preserve"> REF _Ref133827065 \r \h </w:instrText>
      </w:r>
      <w:r w:rsidR="00D845D0">
        <w:fldChar w:fldCharType="separate"/>
      </w:r>
      <w:r w:rsidR="003230CF">
        <w:t>[3]</w:t>
      </w:r>
      <w:r w:rsidR="00D845D0">
        <w:fldChar w:fldCharType="end"/>
      </w:r>
      <w:r w:rsidR="779AC3F1">
        <w:t>.</w:t>
      </w:r>
      <w:r w:rsidR="7346EB43">
        <w:t xml:space="preserve"> </w:t>
      </w:r>
      <w:r w:rsidR="779AC3F1">
        <w:t>In this document</w:t>
      </w:r>
      <w:r w:rsidR="10711FC7">
        <w:t xml:space="preserve">, we present Nokia’s views on the adjacent channel coexistence study according to the latest simulation assumptions agreed in RAN4. </w:t>
      </w:r>
    </w:p>
    <w:p w14:paraId="5864948F" w14:textId="4EE5BC81" w:rsidR="003B659E" w:rsidRPr="008C39F7" w:rsidRDefault="003B659E" w:rsidP="00AE56B1">
      <w:pPr>
        <w:pStyle w:val="RAN4H1"/>
      </w:pPr>
      <w:bookmarkStart w:id="4" w:name="_Toc116995842"/>
      <w:r w:rsidRPr="008C39F7">
        <w:t>Discussion</w:t>
      </w:r>
      <w:bookmarkEnd w:id="4"/>
    </w:p>
    <w:p w14:paraId="58992C75" w14:textId="77777777" w:rsidR="00D41049" w:rsidRDefault="00D845D0" w:rsidP="00D41049">
      <w:r>
        <w:t xml:space="preserve"> </w:t>
      </w:r>
      <w:r w:rsidR="00D41049">
        <w:t xml:space="preserve">We present in this section several of our coexistence analysis for the Urban Macro scenario defined in [3]. </w:t>
      </w:r>
    </w:p>
    <w:p w14:paraId="074B73DA" w14:textId="2B1DCB92" w:rsidR="00D41049" w:rsidRDefault="00D41049" w:rsidP="00E27236">
      <w:pPr>
        <w:pStyle w:val="RAN4H2"/>
      </w:pPr>
      <w:r w:rsidRPr="0089599F">
        <w:t xml:space="preserve">NR TDD DL as victim (Case </w:t>
      </w:r>
      <w:r w:rsidR="001F586A">
        <w:t>1</w:t>
      </w:r>
      <w:r w:rsidRPr="0089599F">
        <w:t>)</w:t>
      </w:r>
    </w:p>
    <w:p w14:paraId="74A82285" w14:textId="77777777" w:rsidR="00D41049" w:rsidRPr="0089599F" w:rsidRDefault="00D41049" w:rsidP="00D41049"/>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9"/>
        <w:gridCol w:w="1358"/>
        <w:gridCol w:w="3105"/>
        <w:gridCol w:w="1989"/>
        <w:gridCol w:w="868"/>
      </w:tblGrid>
      <w:tr w:rsidR="00D41049" w:rsidRPr="004B453D" w14:paraId="6AB62150"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14E96"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0BD83"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32F86"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 xml:space="preserve">Figures: </w:t>
            </w:r>
          </w:p>
          <w:p w14:paraId="19E2CE92"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Aggressor(left) and Victim(right)</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B74EE"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1A9A7"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b/>
                <w:bCs/>
                <w:sz w:val="18"/>
                <w:szCs w:val="18"/>
              </w:rPr>
              <w:t>Priority</w:t>
            </w:r>
          </w:p>
        </w:tc>
      </w:tr>
      <w:tr w:rsidR="00D41049" w:rsidRPr="004B453D" w14:paraId="6AC6AB87"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8FC5C" w14:textId="77777777" w:rsidR="00D41049" w:rsidRPr="004B453D" w:rsidRDefault="00D41049">
            <w:pPr>
              <w:spacing w:after="0"/>
              <w:rPr>
                <w:rFonts w:ascii="Calibri" w:eastAsia="Times New Roman" w:hAnsi="Calibri" w:cs="Calibri"/>
                <w:sz w:val="22"/>
              </w:rPr>
            </w:pPr>
            <w:r w:rsidRPr="004B453D">
              <w:rPr>
                <w:rFonts w:ascii="Calibri" w:eastAsia="Times New Roman" w:hAnsi="Calibri" w:cs="Calibri"/>
                <w:sz w:val="22"/>
              </w:rPr>
              <w:t> </w:t>
            </w:r>
            <w:r w:rsidRPr="004B453D">
              <w:rPr>
                <w:rFonts w:ascii="Arial" w:eastAsia="Times New Roman" w:hAnsi="Arial" w:cs="Arial"/>
                <w:sz w:val="18"/>
                <w:szCs w:val="18"/>
              </w:rPr>
              <w:t>NR TDD DL</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650C2"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sz w:val="18"/>
                <w:szCs w:val="18"/>
              </w:rPr>
              <w:t>SBFD (DU)</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4D533" w14:textId="77777777" w:rsidR="00D41049" w:rsidRPr="004B453D" w:rsidRDefault="00D41049">
            <w:pPr>
              <w:spacing w:after="0"/>
              <w:jc w:val="center"/>
              <w:rPr>
                <w:rFonts w:ascii="Calibri" w:eastAsia="Times New Roman" w:hAnsi="Calibri" w:cs="Calibri"/>
                <w:sz w:val="22"/>
              </w:rPr>
            </w:pPr>
            <w:r w:rsidRPr="004B453D">
              <w:rPr>
                <w:rFonts w:ascii="Calibri" w:eastAsia="Times New Roman" w:hAnsi="Calibri" w:cs="Calibri"/>
                <w:sz w:val="22"/>
              </w:rPr>
              <w:t> </w:t>
            </w:r>
          </w:p>
          <w:p w14:paraId="34E4049B" w14:textId="77777777" w:rsidR="00D41049" w:rsidRPr="004B453D" w:rsidRDefault="00D41049">
            <w:pPr>
              <w:spacing w:after="0"/>
              <w:rPr>
                <w:rFonts w:eastAsia="Times New Roman" w:cs="Times New Roman"/>
                <w:sz w:val="24"/>
                <w:szCs w:val="24"/>
              </w:rPr>
            </w:pPr>
            <w:r w:rsidRPr="004B453D">
              <w:rPr>
                <w:noProof/>
              </w:rPr>
              <w:drawing>
                <wp:inline distT="0" distB="0" distL="0" distR="0" wp14:anchorId="19F91342" wp14:editId="03649D40">
                  <wp:extent cx="17970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0" cy="182880"/>
                          </a:xfrm>
                          <a:prstGeom prst="rect">
                            <a:avLst/>
                          </a:prstGeom>
                          <a:noFill/>
                          <a:ln>
                            <a:noFill/>
                          </a:ln>
                        </pic:spPr>
                      </pic:pic>
                    </a:graphicData>
                  </a:graphic>
                </wp:inline>
              </w:drawing>
            </w:r>
          </w:p>
          <w:p w14:paraId="2A918A8C" w14:textId="77777777" w:rsidR="00D41049" w:rsidRPr="004B453D" w:rsidRDefault="00D41049">
            <w:pPr>
              <w:spacing w:after="0"/>
              <w:jc w:val="center"/>
              <w:rPr>
                <w:rFonts w:ascii="Calibri" w:eastAsia="Times New Roman" w:hAnsi="Calibri" w:cs="Calibri"/>
                <w:sz w:val="22"/>
              </w:rPr>
            </w:pPr>
            <w:r w:rsidRPr="004B453D">
              <w:rPr>
                <w:rFonts w:ascii="Calibri" w:eastAsia="Times New Roman" w:hAnsi="Calibri" w:cs="Calibri"/>
                <w:sz w:val="22"/>
              </w:rPr>
              <w:t> </w:t>
            </w:r>
          </w:p>
          <w:p w14:paraId="2C7CE757" w14:textId="29D9D07A"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sz w:val="18"/>
                <w:szCs w:val="18"/>
              </w:rPr>
              <w:t xml:space="preserve">Case </w:t>
            </w:r>
            <w:r w:rsidR="003755B9">
              <w:rPr>
                <w:rFonts w:ascii="Arial" w:eastAsia="Times New Roman" w:hAnsi="Arial" w:cs="Arial"/>
                <w:sz w:val="18"/>
                <w:szCs w:val="18"/>
              </w:rPr>
              <w:t>1</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3BD36"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sz w:val="18"/>
                <w:szCs w:val="18"/>
              </w:rPr>
              <w:t>NR TDD DL</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E9AD5" w14:textId="77777777" w:rsidR="00D41049" w:rsidRPr="004B453D" w:rsidRDefault="00D41049">
            <w:pPr>
              <w:spacing w:after="0"/>
              <w:jc w:val="center"/>
              <w:rPr>
                <w:rFonts w:ascii="Arial" w:eastAsia="Times New Roman" w:hAnsi="Arial" w:cs="Arial"/>
                <w:sz w:val="18"/>
                <w:szCs w:val="18"/>
              </w:rPr>
            </w:pPr>
            <w:r w:rsidRPr="004B453D">
              <w:rPr>
                <w:rFonts w:ascii="Arial" w:eastAsia="Times New Roman" w:hAnsi="Arial" w:cs="Arial"/>
                <w:sz w:val="18"/>
                <w:szCs w:val="18"/>
              </w:rPr>
              <w:t>High</w:t>
            </w:r>
          </w:p>
        </w:tc>
      </w:tr>
    </w:tbl>
    <w:p w14:paraId="62AF4530" w14:textId="77777777" w:rsidR="00D41049" w:rsidRPr="004B453D" w:rsidRDefault="00D41049" w:rsidP="00D41049"/>
    <w:p w14:paraId="5E00B276" w14:textId="2B6BCD38" w:rsidR="00484284" w:rsidRDefault="00D41049" w:rsidP="00D41049">
      <w:r>
        <w:t xml:space="preserve">In this deployment case, the victim operator adopts NR TDD DL while the aggressor adjacent operator uses NR TDD DL as baseline and SBFD (DU) otherwise. This case </w:t>
      </w:r>
      <w:r w:rsidR="00A76129">
        <w:t>evaluates</w:t>
      </w:r>
      <w:r>
        <w:t xml:space="preserve"> how much of the DL transmissions of the aggressor operator </w:t>
      </w:r>
      <w:r w:rsidR="00A76129">
        <w:t>leaks</w:t>
      </w:r>
      <w:r>
        <w:t xml:space="preserve"> into the victim operator band and the implications on the DL performance. Our assumptions are in line with the latest agreements and WF agreed in previous meetings. Regarding the frame configuration, we assume “DDDDD” and “XXXXX” for NR TDD DL and SBFD respectively, where “D” denotes a downlink slot and “X” denotes a {DU} SBFD slot. </w:t>
      </w:r>
      <w:r w:rsidR="00260113">
        <w:t>The key aspects between having SBFD or TDD as an aggressor technology are the following:</w:t>
      </w:r>
    </w:p>
    <w:p w14:paraId="530B915B" w14:textId="45D93395" w:rsidR="00260113" w:rsidRDefault="00260113" w:rsidP="00260113">
      <w:pPr>
        <w:pStyle w:val="ListParagraph"/>
        <w:numPr>
          <w:ilvl w:val="0"/>
          <w:numId w:val="27"/>
        </w:numPr>
      </w:pPr>
      <w:r>
        <w:t xml:space="preserve">Since we assume equal PSD for TDD and SBFD and the bandwidth is </w:t>
      </w:r>
      <w:r w:rsidR="00EB2D4C">
        <w:t>larger in TDD, one could expect that the adjacent interference generated by the NR TDD DL is higher than SBFD base stations</w:t>
      </w:r>
    </w:p>
    <w:p w14:paraId="1D3C6877" w14:textId="6FC3DF09" w:rsidR="00EB2D4C" w:rsidRDefault="00EB2D4C" w:rsidP="00260113">
      <w:pPr>
        <w:pStyle w:val="ListParagraph"/>
        <w:numPr>
          <w:ilvl w:val="0"/>
          <w:numId w:val="27"/>
        </w:numPr>
      </w:pPr>
      <w:r>
        <w:t xml:space="preserve">If SBFD adopted, </w:t>
      </w:r>
      <w:r w:rsidR="001B2FD2">
        <w:t xml:space="preserve">the UL transmissions on the adjacent </w:t>
      </w:r>
      <w:r w:rsidR="00F747A1">
        <w:t xml:space="preserve">channel </w:t>
      </w:r>
      <w:r w:rsidR="001B2FD2">
        <w:t xml:space="preserve">also impact the DL </w:t>
      </w:r>
      <w:r w:rsidR="009E7EEC">
        <w:t>performance of the victim.</w:t>
      </w:r>
    </w:p>
    <w:p w14:paraId="221C51A8" w14:textId="5B3EE7B4" w:rsidR="009E7EEC" w:rsidRDefault="009E7EEC" w:rsidP="009E7EEC">
      <w:r>
        <w:t xml:space="preserve">To have a good understanding of such aspects, we simulate with uniform </w:t>
      </w:r>
      <w:r w:rsidR="00992914">
        <w:t>distribution</w:t>
      </w:r>
      <w:r>
        <w:t xml:space="preserve"> of the UEs</w:t>
      </w:r>
      <w:r w:rsidR="00992914">
        <w:t xml:space="preserve"> (Urban macro according to RAN4 agreements) and with clusters of UEs (Urban Hotspot according to RAN4 agreements). It is important to note that the </w:t>
      </w:r>
      <w:r w:rsidR="0085064F">
        <w:t xml:space="preserve">outdoor/indoor ratio is different between these 2 scenarios. </w:t>
      </w:r>
      <w:r w:rsidR="000203B8">
        <w:t>For the rest of the simulations assumptions please check the Annex or the recent WF</w:t>
      </w:r>
      <w:r w:rsidR="00F070A5">
        <w:t xml:space="preserve"> for adjacent channel coexistence simulations.</w:t>
      </w:r>
    </w:p>
    <w:p w14:paraId="16CC78E1" w14:textId="3D8D8FCF" w:rsidR="00BA7768" w:rsidRDefault="004F2002" w:rsidP="009E7EEC">
      <w:r>
        <w:fldChar w:fldCharType="begin"/>
      </w:r>
      <w:r>
        <w:instrText xml:space="preserve"> REF _Ref135059175 \h </w:instrText>
      </w:r>
      <w:r>
        <w:fldChar w:fldCharType="separate"/>
      </w:r>
      <w:r>
        <w:t xml:space="preserve">Figure </w:t>
      </w:r>
      <w:r>
        <w:rPr>
          <w:noProof/>
        </w:rPr>
        <w:t>1</w:t>
      </w:r>
      <w:r>
        <w:fldChar w:fldCharType="end"/>
      </w:r>
      <w:r>
        <w:t xml:space="preserve"> </w:t>
      </w:r>
      <w:r w:rsidR="00315C94">
        <w:t>depicts</w:t>
      </w:r>
      <w:r w:rsidR="00DE148F">
        <w:t xml:space="preserve"> the DL SINR at the NR TDD DL victim channel for both scenarios</w:t>
      </w:r>
      <w:r w:rsidR="00315C94">
        <w:t xml:space="preserve"> </w:t>
      </w:r>
    </w:p>
    <w:p w14:paraId="51C1D000" w14:textId="77777777" w:rsidR="00550C85" w:rsidRDefault="00C05EEA" w:rsidP="007C54B2">
      <w:pPr>
        <w:keepNext/>
      </w:pPr>
      <w:r>
        <w:rPr>
          <w:noProof/>
        </w:rPr>
        <w:drawing>
          <wp:inline distT="0" distB="0" distL="0" distR="0" wp14:anchorId="6133573F" wp14:editId="446965A5">
            <wp:extent cx="6113145" cy="2604770"/>
            <wp:effectExtent l="0" t="0" r="190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2604770"/>
                    </a:xfrm>
                    <a:prstGeom prst="rect">
                      <a:avLst/>
                    </a:prstGeom>
                  </pic:spPr>
                </pic:pic>
              </a:graphicData>
            </a:graphic>
          </wp:inline>
        </w:drawing>
      </w:r>
    </w:p>
    <w:p w14:paraId="71408884" w14:textId="78841B8D" w:rsidR="00BA7768" w:rsidRDefault="00550C85" w:rsidP="0032217E">
      <w:pPr>
        <w:pStyle w:val="Caption"/>
        <w:jc w:val="left"/>
      </w:pPr>
      <w:bookmarkStart w:id="5" w:name="_Ref135059175"/>
      <w:r>
        <w:t xml:space="preserve">Figure </w:t>
      </w:r>
      <w:r>
        <w:fldChar w:fldCharType="begin"/>
      </w:r>
      <w:r>
        <w:instrText xml:space="preserve"> SEQ Figure \* ARABIC </w:instrText>
      </w:r>
      <w:r>
        <w:fldChar w:fldCharType="separate"/>
      </w:r>
      <w:r w:rsidR="003230CF">
        <w:rPr>
          <w:noProof/>
        </w:rPr>
        <w:t>1</w:t>
      </w:r>
      <w:r>
        <w:fldChar w:fldCharType="end"/>
      </w:r>
      <w:bookmarkEnd w:id="5"/>
      <w:r w:rsidR="00C91807">
        <w:t xml:space="preserve">. DL SINR at victim NR TDD DL </w:t>
      </w:r>
      <w:r w:rsidR="00645F1D">
        <w:t>when NR TDD DL and SBFD are assumed as aggressors for scenarios Urban Macro (left) and Urban Hotspot (right)</w:t>
      </w:r>
    </w:p>
    <w:p w14:paraId="6CCA404D" w14:textId="297CB0C3" w:rsidR="00C22272" w:rsidRDefault="00B254EF" w:rsidP="007C54B2">
      <w:pPr>
        <w:pStyle w:val="RAN4observation0"/>
      </w:pPr>
      <w:bookmarkStart w:id="6" w:name="_Toc135075336"/>
      <w:r>
        <w:t xml:space="preserve">For coexistence case </w:t>
      </w:r>
      <w:r w:rsidR="005A2448">
        <w:t>1</w:t>
      </w:r>
      <w:r w:rsidR="00F378F2">
        <w:t xml:space="preserve"> and Urban Macro scenario</w:t>
      </w:r>
      <w:r>
        <w:t xml:space="preserve">, the DL SINR at the victim NR TDD DL </w:t>
      </w:r>
      <w:r w:rsidR="00B30BDA">
        <w:t>remains almost unchanged regardless of whether NR TDD or SBFD is acting as aggressor technology</w:t>
      </w:r>
      <w:bookmarkEnd w:id="6"/>
      <w:r w:rsidR="00B30BDA">
        <w:br/>
      </w:r>
    </w:p>
    <w:p w14:paraId="2A8811E2" w14:textId="70C3442E" w:rsidR="00B30BDA" w:rsidRDefault="00F378F2" w:rsidP="007C54B2">
      <w:pPr>
        <w:pStyle w:val="RAN4observation0"/>
      </w:pPr>
      <w:bookmarkStart w:id="7" w:name="_Toc135075337"/>
      <w:r>
        <w:t xml:space="preserve">For coexistence case </w:t>
      </w:r>
      <w:r w:rsidR="005A2448">
        <w:t>1</w:t>
      </w:r>
      <w:r>
        <w:t xml:space="preserve"> and Urban Hotspot scenario, the DL SINR at the victim NR TDD DL is further degraded with the presence of SBFD due to the </w:t>
      </w:r>
      <w:r w:rsidR="0067186C">
        <w:t>adjacent channel UE-to-UE CLI</w:t>
      </w:r>
      <w:bookmarkEnd w:id="7"/>
    </w:p>
    <w:p w14:paraId="5FC0D486" w14:textId="74F0754C" w:rsidR="2F874F1A" w:rsidRDefault="000C48E4" w:rsidP="2F874F1A">
      <w:pPr>
        <w:rPr>
          <w:rFonts w:eastAsia="Calibri" w:cs="Arial"/>
          <w:szCs w:val="20"/>
        </w:rPr>
      </w:pPr>
      <w:r>
        <w:rPr>
          <w:rFonts w:eastAsia="Calibri" w:cs="Arial"/>
          <w:szCs w:val="20"/>
        </w:rPr>
        <w:fldChar w:fldCharType="begin"/>
      </w:r>
      <w:r>
        <w:rPr>
          <w:rFonts w:eastAsia="Calibri" w:cs="Arial"/>
          <w:szCs w:val="20"/>
        </w:rPr>
        <w:instrText xml:space="preserve"> REF _Ref135071651 \h </w:instrText>
      </w:r>
      <w:r>
        <w:rPr>
          <w:rFonts w:eastAsia="Calibri" w:cs="Arial"/>
          <w:szCs w:val="20"/>
        </w:rPr>
      </w:r>
      <w:r>
        <w:rPr>
          <w:rFonts w:eastAsia="Calibri" w:cs="Arial"/>
          <w:szCs w:val="20"/>
        </w:rPr>
        <w:fldChar w:fldCharType="separate"/>
      </w:r>
      <w:r>
        <w:t xml:space="preserve">Figure </w:t>
      </w:r>
      <w:r>
        <w:rPr>
          <w:noProof/>
        </w:rPr>
        <w:t>2</w:t>
      </w:r>
      <w:r>
        <w:rPr>
          <w:rFonts w:eastAsia="Calibri" w:cs="Arial"/>
          <w:szCs w:val="20"/>
        </w:rPr>
        <w:fldChar w:fldCharType="end"/>
      </w:r>
      <w:r w:rsidR="00D57E5B">
        <w:rPr>
          <w:rFonts w:eastAsia="Calibri" w:cs="Arial"/>
          <w:szCs w:val="20"/>
        </w:rPr>
        <w:t xml:space="preserve"> shows the </w:t>
      </w:r>
      <w:r w:rsidR="00D36519">
        <w:rPr>
          <w:rFonts w:eastAsia="Calibri" w:cs="Arial"/>
          <w:szCs w:val="20"/>
        </w:rPr>
        <w:t>5</w:t>
      </w:r>
      <w:r w:rsidR="00D36519" w:rsidRPr="007C54B2">
        <w:rPr>
          <w:rFonts w:eastAsia="Calibri" w:cs="Arial"/>
          <w:szCs w:val="20"/>
          <w:vertAlign w:val="superscript"/>
        </w:rPr>
        <w:t>th</w:t>
      </w:r>
      <w:r w:rsidR="00D36519">
        <w:rPr>
          <w:rFonts w:eastAsia="Calibri" w:cs="Arial"/>
          <w:szCs w:val="20"/>
        </w:rPr>
        <w:t xml:space="preserve"> </w:t>
      </w:r>
      <w:r w:rsidR="00DC5E74">
        <w:rPr>
          <w:rFonts w:eastAsia="Calibri" w:cs="Arial"/>
          <w:szCs w:val="20"/>
        </w:rPr>
        <w:t>and 50</w:t>
      </w:r>
      <w:r w:rsidR="00DC5E74" w:rsidRPr="007C54B2">
        <w:rPr>
          <w:rFonts w:eastAsia="Calibri" w:cs="Arial"/>
          <w:szCs w:val="20"/>
          <w:vertAlign w:val="superscript"/>
        </w:rPr>
        <w:t>th</w:t>
      </w:r>
      <w:r w:rsidR="00DC5E74">
        <w:rPr>
          <w:rFonts w:eastAsia="Calibri" w:cs="Arial"/>
          <w:szCs w:val="20"/>
        </w:rPr>
        <w:t xml:space="preserve"> percentiles of the </w:t>
      </w:r>
      <w:r w:rsidR="00D57E5B">
        <w:rPr>
          <w:rFonts w:eastAsia="Calibri" w:cs="Arial"/>
          <w:szCs w:val="20"/>
        </w:rPr>
        <w:t xml:space="preserve">DL SINR </w:t>
      </w:r>
      <w:r w:rsidR="00410A39">
        <w:rPr>
          <w:rFonts w:eastAsia="Calibri" w:cs="Arial"/>
          <w:szCs w:val="20"/>
        </w:rPr>
        <w:t xml:space="preserve">comparison </w:t>
      </w:r>
      <w:r w:rsidR="00DC5E74">
        <w:rPr>
          <w:rFonts w:eastAsia="Calibri" w:cs="Arial"/>
          <w:szCs w:val="20"/>
        </w:rPr>
        <w:t xml:space="preserve">between Urban macro and Urban Hotspot </w:t>
      </w:r>
      <w:r w:rsidR="00EB36EF">
        <w:rPr>
          <w:rFonts w:eastAsia="Calibri" w:cs="Arial"/>
          <w:szCs w:val="20"/>
        </w:rPr>
        <w:t>case 1</w:t>
      </w:r>
      <w:r w:rsidR="005E1631">
        <w:rPr>
          <w:rFonts w:eastAsia="Calibri" w:cs="Arial"/>
          <w:szCs w:val="20"/>
        </w:rPr>
        <w:t xml:space="preserve">. </w:t>
      </w:r>
      <w:r w:rsidR="00D0354D">
        <w:rPr>
          <w:rFonts w:eastAsia="Calibri" w:cs="Arial"/>
          <w:szCs w:val="20"/>
        </w:rPr>
        <w:t xml:space="preserve">For Urban </w:t>
      </w:r>
      <w:r w:rsidR="00522DFB">
        <w:rPr>
          <w:rFonts w:eastAsia="Calibri" w:cs="Arial"/>
          <w:szCs w:val="20"/>
        </w:rPr>
        <w:t xml:space="preserve">Macro, </w:t>
      </w:r>
      <w:r w:rsidR="002F0600">
        <w:rPr>
          <w:rFonts w:eastAsia="Calibri" w:cs="Arial"/>
          <w:szCs w:val="20"/>
        </w:rPr>
        <w:t>there is no degradation of the 5</w:t>
      </w:r>
      <w:r w:rsidR="002F0600" w:rsidRPr="007C54B2">
        <w:rPr>
          <w:rFonts w:eastAsia="Calibri" w:cs="Arial"/>
          <w:szCs w:val="20"/>
          <w:vertAlign w:val="superscript"/>
        </w:rPr>
        <w:t>th</w:t>
      </w:r>
      <w:r w:rsidR="002F0600">
        <w:rPr>
          <w:rFonts w:eastAsia="Calibri" w:cs="Arial"/>
          <w:szCs w:val="20"/>
        </w:rPr>
        <w:t xml:space="preserve"> and the 50</w:t>
      </w:r>
      <w:r w:rsidR="002F0600" w:rsidRPr="007C54B2">
        <w:rPr>
          <w:rFonts w:eastAsia="Calibri" w:cs="Arial"/>
          <w:szCs w:val="20"/>
          <w:vertAlign w:val="superscript"/>
        </w:rPr>
        <w:t>th</w:t>
      </w:r>
      <w:r w:rsidR="002F0600">
        <w:rPr>
          <w:rFonts w:eastAsia="Calibri" w:cs="Arial"/>
          <w:szCs w:val="20"/>
        </w:rPr>
        <w:t xml:space="preserve"> percentile</w:t>
      </w:r>
      <w:r w:rsidR="005D7913">
        <w:rPr>
          <w:rFonts w:eastAsia="Calibri" w:cs="Arial"/>
          <w:szCs w:val="20"/>
        </w:rPr>
        <w:t>s</w:t>
      </w:r>
      <w:r w:rsidR="00C86EF2">
        <w:rPr>
          <w:rFonts w:eastAsia="Calibri" w:cs="Arial"/>
          <w:szCs w:val="20"/>
        </w:rPr>
        <w:t xml:space="preserve"> regardless the aggressor technology. </w:t>
      </w:r>
      <w:r w:rsidR="00D10A65">
        <w:rPr>
          <w:rFonts w:eastAsia="Calibri" w:cs="Arial"/>
          <w:szCs w:val="20"/>
        </w:rPr>
        <w:t>For the Urban Hotspot scenario, on the other hand, there is a degradation</w:t>
      </w:r>
      <w:r w:rsidR="00E44DC9">
        <w:rPr>
          <w:rFonts w:eastAsia="Calibri" w:cs="Arial"/>
          <w:szCs w:val="20"/>
        </w:rPr>
        <w:t xml:space="preserve"> in the 5</w:t>
      </w:r>
      <w:r w:rsidR="00E44DC9" w:rsidRPr="007C54B2">
        <w:rPr>
          <w:rFonts w:eastAsia="Calibri" w:cs="Arial"/>
          <w:szCs w:val="20"/>
          <w:vertAlign w:val="superscript"/>
        </w:rPr>
        <w:t>th</w:t>
      </w:r>
      <w:r w:rsidR="00E44DC9">
        <w:rPr>
          <w:rFonts w:eastAsia="Calibri" w:cs="Arial"/>
          <w:szCs w:val="20"/>
        </w:rPr>
        <w:t xml:space="preserve"> percentile</w:t>
      </w:r>
      <w:r w:rsidR="00D10A65">
        <w:rPr>
          <w:rFonts w:eastAsia="Calibri" w:cs="Arial"/>
          <w:szCs w:val="20"/>
        </w:rPr>
        <w:t xml:space="preserve"> of about 3 dB</w:t>
      </w:r>
      <w:r w:rsidR="00E84331">
        <w:rPr>
          <w:rFonts w:eastAsia="Calibri" w:cs="Arial"/>
          <w:szCs w:val="20"/>
        </w:rPr>
        <w:t xml:space="preserve"> when SBFD is the aggressor technology, when compared to an aggressor TDD. </w:t>
      </w:r>
      <w:r w:rsidR="005312CE">
        <w:rPr>
          <w:rFonts w:eastAsia="Calibri" w:cs="Arial"/>
          <w:szCs w:val="20"/>
        </w:rPr>
        <w:t>In the 50</w:t>
      </w:r>
      <w:r w:rsidR="005312CE" w:rsidRPr="007C54B2">
        <w:rPr>
          <w:rFonts w:eastAsia="Calibri" w:cs="Arial"/>
          <w:szCs w:val="20"/>
          <w:vertAlign w:val="superscript"/>
        </w:rPr>
        <w:t>th</w:t>
      </w:r>
      <w:r w:rsidR="005312CE">
        <w:rPr>
          <w:rFonts w:eastAsia="Calibri" w:cs="Arial"/>
          <w:szCs w:val="20"/>
        </w:rPr>
        <w:t xml:space="preserve"> percentile the degradation is about 2.5 dB.</w:t>
      </w:r>
    </w:p>
    <w:p w14:paraId="475E2C31" w14:textId="77777777" w:rsidR="00C91807" w:rsidRDefault="00974C11" w:rsidP="007C54B2">
      <w:pPr>
        <w:keepNext/>
        <w:jc w:val="center"/>
      </w:pPr>
      <w:r>
        <w:rPr>
          <w:noProof/>
        </w:rPr>
        <w:drawing>
          <wp:inline distT="0" distB="0" distL="0" distR="0" wp14:anchorId="682F8457" wp14:editId="5AAE4DA4">
            <wp:extent cx="5730268" cy="2416629"/>
            <wp:effectExtent l="0" t="0" r="381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40172" cy="2420806"/>
                    </a:xfrm>
                    <a:prstGeom prst="rect">
                      <a:avLst/>
                    </a:prstGeom>
                  </pic:spPr>
                </pic:pic>
              </a:graphicData>
            </a:graphic>
          </wp:inline>
        </w:drawing>
      </w:r>
    </w:p>
    <w:p w14:paraId="1FD7C090" w14:textId="7632D489" w:rsidR="00DE148F" w:rsidRDefault="00C91807" w:rsidP="00C91807">
      <w:pPr>
        <w:pStyle w:val="Caption"/>
      </w:pPr>
      <w:bookmarkStart w:id="8" w:name="_Ref135071651"/>
      <w:r>
        <w:t xml:space="preserve">Figure </w:t>
      </w:r>
      <w:r>
        <w:fldChar w:fldCharType="begin"/>
      </w:r>
      <w:r>
        <w:instrText xml:space="preserve"> SEQ Figure \* ARABIC </w:instrText>
      </w:r>
      <w:r>
        <w:fldChar w:fldCharType="separate"/>
      </w:r>
      <w:r w:rsidR="003230CF">
        <w:rPr>
          <w:noProof/>
        </w:rPr>
        <w:t>2</w:t>
      </w:r>
      <w:r>
        <w:fldChar w:fldCharType="end"/>
      </w:r>
      <w:bookmarkEnd w:id="8"/>
      <w:r w:rsidR="00FD1DB0">
        <w:t xml:space="preserve">. Summary of the DL SINR for Case </w:t>
      </w:r>
      <w:r w:rsidR="00AB04FE">
        <w:t>1</w:t>
      </w:r>
    </w:p>
    <w:p w14:paraId="26625E31" w14:textId="3D81C437" w:rsidR="00C91807" w:rsidRDefault="008523F2" w:rsidP="007C54B2">
      <w:pPr>
        <w:pStyle w:val="RAN4observation0"/>
      </w:pPr>
      <w:bookmarkStart w:id="9" w:name="_Toc135075338"/>
      <w:r>
        <w:t>For</w:t>
      </w:r>
      <w:r w:rsidR="003D4CC2">
        <w:t xml:space="preserve"> </w:t>
      </w:r>
      <w:r w:rsidR="0025761E">
        <w:t>coexistence case 1 and</w:t>
      </w:r>
      <w:r>
        <w:t xml:space="preserve"> Urban hotspot scenario, t</w:t>
      </w:r>
      <w:r w:rsidR="00610E39">
        <w:t>he 5</w:t>
      </w:r>
      <w:r w:rsidR="00610E39" w:rsidRPr="007C54B2">
        <w:rPr>
          <w:vertAlign w:val="superscript"/>
        </w:rPr>
        <w:t>th</w:t>
      </w:r>
      <w:r w:rsidR="00610E39">
        <w:t xml:space="preserve"> </w:t>
      </w:r>
      <w:r w:rsidR="00A12633">
        <w:t>and 50</w:t>
      </w:r>
      <w:r w:rsidR="00A12633" w:rsidRPr="007C54B2">
        <w:rPr>
          <w:vertAlign w:val="superscript"/>
        </w:rPr>
        <w:t>th</w:t>
      </w:r>
      <w:r w:rsidR="00A12633">
        <w:t xml:space="preserve"> </w:t>
      </w:r>
      <w:r w:rsidR="00610E39">
        <w:t>percentile</w:t>
      </w:r>
      <w:r w:rsidR="00F42253">
        <w:t>s</w:t>
      </w:r>
      <w:r w:rsidR="00610E39">
        <w:t xml:space="preserve"> DL SINR shows clear degradation </w:t>
      </w:r>
      <w:r w:rsidR="002D0254">
        <w:t>when SBFD is used (as compared to when TDD DL is used)</w:t>
      </w:r>
      <w:bookmarkEnd w:id="9"/>
    </w:p>
    <w:p w14:paraId="25BA31A1" w14:textId="77777777" w:rsidR="002D0254" w:rsidRDefault="002D0254" w:rsidP="002D0254"/>
    <w:p w14:paraId="644C24D7" w14:textId="3E897534" w:rsidR="002D0254" w:rsidRPr="00C91807" w:rsidRDefault="0051790B" w:rsidP="002D0254">
      <w:r>
        <w:rPr>
          <w:highlight w:val="yellow"/>
        </w:rPr>
        <w:fldChar w:fldCharType="begin"/>
      </w:r>
      <w:r>
        <w:instrText xml:space="preserve"> REF _Ref135071411 \h </w:instrText>
      </w:r>
      <w:r>
        <w:rPr>
          <w:highlight w:val="yellow"/>
        </w:rPr>
      </w:r>
      <w:r>
        <w:rPr>
          <w:highlight w:val="yellow"/>
        </w:rPr>
        <w:fldChar w:fldCharType="separate"/>
      </w:r>
      <w:r>
        <w:t xml:space="preserve">Figure </w:t>
      </w:r>
      <w:r>
        <w:rPr>
          <w:noProof/>
        </w:rPr>
        <w:t>3</w:t>
      </w:r>
      <w:r>
        <w:rPr>
          <w:highlight w:val="yellow"/>
        </w:rPr>
        <w:fldChar w:fldCharType="end"/>
      </w:r>
      <w:r w:rsidR="002D0254">
        <w:t xml:space="preserve"> shows the absolute values of the downlink </w:t>
      </w:r>
      <w:r w:rsidR="00975A5C">
        <w:t>throughput</w:t>
      </w:r>
      <w:r w:rsidR="002D0254">
        <w:t xml:space="preserve"> for the victim TDD DL. In accordance with the SINR trends, the lowest DL throughput is shown when SBFD is the aggressor and </w:t>
      </w:r>
      <w:r w:rsidR="00C01BA3">
        <w:t>Urban Hotspot scenario is assumed. For the Urban Macro case, no performance difference is observed.</w:t>
      </w:r>
    </w:p>
    <w:p w14:paraId="4011B55A" w14:textId="77777777" w:rsidR="00C91807" w:rsidRDefault="00C91807" w:rsidP="007C54B2">
      <w:pPr>
        <w:keepNext/>
      </w:pPr>
      <w:r>
        <w:rPr>
          <w:noProof/>
        </w:rPr>
        <w:drawing>
          <wp:inline distT="0" distB="0" distL="0" distR="0" wp14:anchorId="58503BA1" wp14:editId="2D658C2C">
            <wp:extent cx="6113145" cy="242443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3145" cy="2424430"/>
                    </a:xfrm>
                    <a:prstGeom prst="rect">
                      <a:avLst/>
                    </a:prstGeom>
                  </pic:spPr>
                </pic:pic>
              </a:graphicData>
            </a:graphic>
          </wp:inline>
        </w:drawing>
      </w:r>
    </w:p>
    <w:p w14:paraId="02671A89" w14:textId="10138368" w:rsidR="00C91807" w:rsidRDefault="00C91807" w:rsidP="00FD1DB0">
      <w:pPr>
        <w:pStyle w:val="Caption"/>
      </w:pPr>
      <w:bookmarkStart w:id="10" w:name="_Ref135071411"/>
      <w:r>
        <w:t xml:space="preserve">Figure </w:t>
      </w:r>
      <w:r>
        <w:fldChar w:fldCharType="begin"/>
      </w:r>
      <w:r>
        <w:instrText xml:space="preserve"> SEQ Figure \* ARABIC </w:instrText>
      </w:r>
      <w:r>
        <w:fldChar w:fldCharType="separate"/>
      </w:r>
      <w:r w:rsidR="003230CF">
        <w:rPr>
          <w:noProof/>
        </w:rPr>
        <w:t>3</w:t>
      </w:r>
      <w:r>
        <w:fldChar w:fldCharType="end"/>
      </w:r>
      <w:bookmarkEnd w:id="10"/>
      <w:r w:rsidR="00FD1DB0">
        <w:t xml:space="preserve">. Summary of the DL throughput for Case </w:t>
      </w:r>
      <w:r w:rsidR="00EE398D">
        <w:t>1</w:t>
      </w:r>
    </w:p>
    <w:p w14:paraId="1D05690D" w14:textId="12A82973" w:rsidR="006D6857" w:rsidRDefault="006D6857" w:rsidP="007C54B2">
      <w:pPr>
        <w:pStyle w:val="RAN4observation0"/>
      </w:pPr>
      <w:bookmarkStart w:id="11" w:name="_Toc135075339"/>
      <w:r>
        <w:t>For</w:t>
      </w:r>
      <w:r w:rsidR="004778E9">
        <w:t xml:space="preserve"> coexistence case 1 </w:t>
      </w:r>
      <w:r w:rsidR="00F378E9">
        <w:t xml:space="preserve">and </w:t>
      </w:r>
      <w:r w:rsidR="00A14CE4">
        <w:t xml:space="preserve">Urban hotspot scenario, </w:t>
      </w:r>
      <w:r w:rsidR="00743D02">
        <w:t>degradation</w:t>
      </w:r>
      <w:r w:rsidR="006449ED">
        <w:t xml:space="preserve"> of the DL throughput</w:t>
      </w:r>
      <w:r w:rsidR="00743D02">
        <w:t xml:space="preserve"> is observed in both 5</w:t>
      </w:r>
      <w:r w:rsidR="00743D02">
        <w:rPr>
          <w:vertAlign w:val="superscript"/>
        </w:rPr>
        <w:t xml:space="preserve">th </w:t>
      </w:r>
      <w:r w:rsidR="00743D02">
        <w:t>and 50</w:t>
      </w:r>
      <w:r w:rsidR="00743D02" w:rsidRPr="007C54B2">
        <w:rPr>
          <w:vertAlign w:val="superscript"/>
        </w:rPr>
        <w:t>th</w:t>
      </w:r>
      <w:r w:rsidR="00743D02">
        <w:t xml:space="preserve"> percentiles when the performance with an aggressor SBFD is compared to the performance of an aggressor TDD</w:t>
      </w:r>
      <w:r w:rsidR="00D56F8C">
        <w:t>.</w:t>
      </w:r>
      <w:r w:rsidR="004101E4">
        <w:t xml:space="preserve"> </w:t>
      </w:r>
      <w:r w:rsidR="00674A56">
        <w:t>In the 5</w:t>
      </w:r>
      <w:r w:rsidR="00674A56" w:rsidRPr="007C54B2">
        <w:rPr>
          <w:vertAlign w:val="superscript"/>
        </w:rPr>
        <w:t>th</w:t>
      </w:r>
      <w:r w:rsidR="00674A56">
        <w:t xml:space="preserve"> percentile, the DL throughput </w:t>
      </w:r>
      <w:r w:rsidR="00A7382F">
        <w:t xml:space="preserve">of the victim TDD </w:t>
      </w:r>
      <w:r w:rsidR="00781A54">
        <w:t xml:space="preserve">subject to interference from an aggressor </w:t>
      </w:r>
      <w:r w:rsidR="00CE5C6D">
        <w:t>SBFD</w:t>
      </w:r>
      <w:r w:rsidR="00F01E2A">
        <w:t xml:space="preserve"> is </w:t>
      </w:r>
      <w:r w:rsidR="006F4D45">
        <w:t>approximately</w:t>
      </w:r>
      <w:r w:rsidR="00F01E2A">
        <w:t xml:space="preserve"> half of the throughput</w:t>
      </w:r>
      <w:r w:rsidR="008052BC">
        <w:t xml:space="preserve"> obtained when subject to interference from an aggressor TDD.</w:t>
      </w:r>
      <w:bookmarkEnd w:id="11"/>
    </w:p>
    <w:p w14:paraId="53BACBBA" w14:textId="77777777" w:rsidR="006D6857" w:rsidRPr="006D6857" w:rsidRDefault="006D6857" w:rsidP="007C54B2"/>
    <w:p w14:paraId="4F69ECA4" w14:textId="68543576" w:rsidR="00B731C7" w:rsidRDefault="000F6354" w:rsidP="00D41049">
      <w:r>
        <w:t xml:space="preserve">The absolute values above are put into </w:t>
      </w:r>
      <w:r w:rsidR="00C21687">
        <w:fldChar w:fldCharType="begin"/>
      </w:r>
      <w:r w:rsidR="00C21687">
        <w:instrText xml:space="preserve"> REF _Ref135074611 \h </w:instrText>
      </w:r>
      <w:r w:rsidR="00C21687">
        <w:fldChar w:fldCharType="separate"/>
      </w:r>
      <w:r w:rsidR="00C21687">
        <w:t xml:space="preserve">Table </w:t>
      </w:r>
      <w:r w:rsidR="00C21687">
        <w:rPr>
          <w:noProof/>
        </w:rPr>
        <w:t>1</w:t>
      </w:r>
      <w:r w:rsidR="00C21687">
        <w:fldChar w:fldCharType="end"/>
      </w:r>
      <w:r w:rsidR="00C21687">
        <w:t xml:space="preserve">, where we show </w:t>
      </w:r>
      <w:r w:rsidR="005807C1">
        <w:t xml:space="preserve">the performance gain/loss </w:t>
      </w:r>
      <w:r w:rsidR="00FF04A1">
        <w:t>in</w:t>
      </w:r>
      <w:r w:rsidR="001A219D">
        <w:t xml:space="preserve"> percentage of</w:t>
      </w:r>
      <w:r w:rsidR="00FF04A1">
        <w:t xml:space="preserve"> </w:t>
      </w:r>
      <w:r w:rsidR="001A219D">
        <w:t>the DL</w:t>
      </w:r>
      <w:r w:rsidR="00FF04A1">
        <w:t xml:space="preserve"> throughput when comparing “aggressor baseline” with “aggressor”</w:t>
      </w:r>
      <w:r w:rsidR="00C21687">
        <w:t xml:space="preserve">. </w:t>
      </w:r>
    </w:p>
    <w:p w14:paraId="21BC4BF2" w14:textId="142FA5D9" w:rsidR="00096652" w:rsidRDefault="00096652" w:rsidP="00A03F6C">
      <w:pPr>
        <w:pStyle w:val="Caption"/>
        <w:keepNext/>
      </w:pPr>
      <w:bookmarkStart w:id="12" w:name="_Ref135074575"/>
      <w:bookmarkStart w:id="13" w:name="_Ref135074611"/>
      <w:r>
        <w:t xml:space="preserve">Table </w:t>
      </w:r>
      <w:r>
        <w:fldChar w:fldCharType="begin"/>
      </w:r>
      <w:r>
        <w:instrText xml:space="preserve"> SEQ Table \* ARABIC </w:instrText>
      </w:r>
      <w:r>
        <w:fldChar w:fldCharType="separate"/>
      </w:r>
      <w:r w:rsidR="003230CF">
        <w:rPr>
          <w:noProof/>
        </w:rPr>
        <w:t>1</w:t>
      </w:r>
      <w:r>
        <w:fldChar w:fldCharType="end"/>
      </w:r>
      <w:bookmarkEnd w:id="13"/>
      <w:r w:rsidR="0089788A">
        <w:t>. Summary table wit</w:t>
      </w:r>
      <w:r w:rsidR="00461FDF">
        <w:t xml:space="preserve">h </w:t>
      </w:r>
      <w:r w:rsidR="000F34D9">
        <w:t xml:space="preserve">NR TDD DL </w:t>
      </w:r>
      <w:r w:rsidR="00461FDF">
        <w:t xml:space="preserve">relative </w:t>
      </w:r>
      <w:r w:rsidR="000A26C3">
        <w:t xml:space="preserve">throughput </w:t>
      </w:r>
      <w:r w:rsidR="00461FDF">
        <w:t xml:space="preserve">performance between </w:t>
      </w:r>
      <w:r w:rsidR="000F34D9">
        <w:t xml:space="preserve">aggressor baseline </w:t>
      </w:r>
      <w:r w:rsidR="000A26C3">
        <w:t xml:space="preserve">(DL TDD) </w:t>
      </w:r>
      <w:r w:rsidR="000F34D9">
        <w:t>and aggressor (SBFD)</w:t>
      </w:r>
      <w:r w:rsidR="00956728">
        <w:t xml:space="preserve"> for coexistence case 1</w:t>
      </w:r>
      <w:bookmarkEnd w:id="12"/>
    </w:p>
    <w:tbl>
      <w:tblPr>
        <w:tblStyle w:val="TableGrid"/>
        <w:tblW w:w="0" w:type="auto"/>
        <w:tblLook w:val="04A0" w:firstRow="1" w:lastRow="0" w:firstColumn="1" w:lastColumn="0" w:noHBand="0" w:noVBand="1"/>
      </w:tblPr>
      <w:tblGrid>
        <w:gridCol w:w="1257"/>
        <w:gridCol w:w="2064"/>
        <w:gridCol w:w="732"/>
        <w:gridCol w:w="1321"/>
        <w:gridCol w:w="1387"/>
        <w:gridCol w:w="1321"/>
        <w:gridCol w:w="1321"/>
      </w:tblGrid>
      <w:tr w:rsidR="00523172" w14:paraId="4FFCE6A0" w14:textId="77777777" w:rsidTr="007C54B2">
        <w:trPr>
          <w:trHeight w:val="820"/>
        </w:trPr>
        <w:tc>
          <w:tcPr>
            <w:tcW w:w="1257" w:type="dxa"/>
            <w:vAlign w:val="center"/>
          </w:tcPr>
          <w:p w14:paraId="6D8D6700" w14:textId="36E21A14" w:rsidR="00523172" w:rsidRPr="00111E2B" w:rsidRDefault="00523172" w:rsidP="00360D21">
            <w:pPr>
              <w:jc w:val="center"/>
              <w:rPr>
                <w:rFonts w:cs="Times New Roman"/>
                <w:b/>
                <w:bCs/>
                <w:szCs w:val="20"/>
              </w:rPr>
            </w:pPr>
            <w:r w:rsidRPr="00111E2B">
              <w:rPr>
                <w:rFonts w:cs="Times New Roman"/>
                <w:b/>
                <w:bCs/>
                <w:szCs w:val="20"/>
              </w:rPr>
              <w:t>Scenario</w:t>
            </w:r>
          </w:p>
        </w:tc>
        <w:tc>
          <w:tcPr>
            <w:tcW w:w="2064" w:type="dxa"/>
            <w:vAlign w:val="center"/>
          </w:tcPr>
          <w:p w14:paraId="6D54889D" w14:textId="20295ACE" w:rsidR="00523172" w:rsidRPr="00111E2B" w:rsidRDefault="00523172" w:rsidP="00360D21">
            <w:pPr>
              <w:jc w:val="center"/>
              <w:rPr>
                <w:rFonts w:cs="Times New Roman"/>
                <w:b/>
                <w:bCs/>
                <w:szCs w:val="20"/>
              </w:rPr>
            </w:pPr>
            <w:r w:rsidRPr="00111E2B">
              <w:rPr>
                <w:rFonts w:cs="Times New Roman"/>
                <w:b/>
                <w:bCs/>
                <w:szCs w:val="20"/>
              </w:rPr>
              <w:t>Observation point</w:t>
            </w:r>
          </w:p>
        </w:tc>
        <w:tc>
          <w:tcPr>
            <w:tcW w:w="732" w:type="dxa"/>
            <w:vAlign w:val="center"/>
          </w:tcPr>
          <w:p w14:paraId="5F09D41D" w14:textId="15D82734" w:rsidR="00523172" w:rsidRPr="00111E2B" w:rsidRDefault="00523172" w:rsidP="00360D21">
            <w:pPr>
              <w:jc w:val="center"/>
              <w:rPr>
                <w:rFonts w:cs="Times New Roman"/>
                <w:b/>
                <w:bCs/>
                <w:szCs w:val="20"/>
              </w:rPr>
            </w:pPr>
            <w:r w:rsidRPr="00111E2B">
              <w:rPr>
                <w:rFonts w:eastAsia="DengXian" w:cs="Times New Roman"/>
                <w:b/>
                <w:bCs/>
                <w:szCs w:val="20"/>
                <w:lang w:eastAsia="zh-CN"/>
              </w:rPr>
              <w:t>- 4dB</w:t>
            </w:r>
          </w:p>
        </w:tc>
        <w:tc>
          <w:tcPr>
            <w:tcW w:w="1321" w:type="dxa"/>
            <w:vAlign w:val="center"/>
          </w:tcPr>
          <w:p w14:paraId="171B4EA7" w14:textId="2064B9A1" w:rsidR="00523172" w:rsidRPr="00111E2B" w:rsidRDefault="00523172" w:rsidP="00360D21">
            <w:pPr>
              <w:jc w:val="center"/>
              <w:rPr>
                <w:rFonts w:cs="Times New Roman"/>
                <w:b/>
                <w:bCs/>
                <w:szCs w:val="20"/>
              </w:rPr>
            </w:pPr>
            <w:r w:rsidRPr="00111E2B">
              <w:rPr>
                <w:rFonts w:eastAsia="DengXian" w:cs="Times New Roman"/>
                <w:b/>
                <w:bCs/>
                <w:szCs w:val="20"/>
                <w:lang w:eastAsia="zh-CN"/>
              </w:rPr>
              <w:t>- 2dB</w:t>
            </w:r>
          </w:p>
        </w:tc>
        <w:tc>
          <w:tcPr>
            <w:tcW w:w="1387" w:type="dxa"/>
            <w:vAlign w:val="center"/>
          </w:tcPr>
          <w:p w14:paraId="0DA528A6" w14:textId="533210C1" w:rsidR="00523172" w:rsidRPr="00111E2B" w:rsidRDefault="00523172" w:rsidP="00360D21">
            <w:pPr>
              <w:jc w:val="center"/>
              <w:rPr>
                <w:rFonts w:cs="Times New Roman"/>
                <w:b/>
                <w:bCs/>
                <w:szCs w:val="20"/>
              </w:rPr>
            </w:pPr>
            <w:r w:rsidRPr="00111E2B">
              <w:rPr>
                <w:rFonts w:eastAsia="DengXian" w:cs="Times New Roman"/>
                <w:b/>
                <w:bCs/>
                <w:szCs w:val="20"/>
                <w:lang w:eastAsia="zh-CN"/>
              </w:rPr>
              <w:t>Relative ACIR</w:t>
            </w:r>
          </w:p>
        </w:tc>
        <w:tc>
          <w:tcPr>
            <w:tcW w:w="1321" w:type="dxa"/>
            <w:vAlign w:val="center"/>
          </w:tcPr>
          <w:p w14:paraId="141522D4" w14:textId="42B9AFF4" w:rsidR="00523172" w:rsidRPr="00111E2B" w:rsidRDefault="00523172" w:rsidP="00360D21">
            <w:pPr>
              <w:jc w:val="center"/>
              <w:rPr>
                <w:rFonts w:cs="Times New Roman"/>
                <w:b/>
                <w:bCs/>
                <w:szCs w:val="20"/>
              </w:rPr>
            </w:pPr>
            <w:r w:rsidRPr="00111E2B">
              <w:rPr>
                <w:rFonts w:eastAsia="DengXian" w:cs="Times New Roman"/>
                <w:b/>
                <w:bCs/>
                <w:szCs w:val="20"/>
                <w:lang w:eastAsia="zh-CN"/>
              </w:rPr>
              <w:t>+ 2dB</w:t>
            </w:r>
          </w:p>
        </w:tc>
        <w:tc>
          <w:tcPr>
            <w:tcW w:w="1321" w:type="dxa"/>
            <w:vAlign w:val="center"/>
          </w:tcPr>
          <w:p w14:paraId="09E5CD2D" w14:textId="4383F808" w:rsidR="00523172" w:rsidRPr="00111E2B" w:rsidRDefault="00523172" w:rsidP="00360D21">
            <w:pPr>
              <w:jc w:val="center"/>
              <w:rPr>
                <w:rFonts w:cs="Times New Roman"/>
                <w:b/>
                <w:bCs/>
                <w:szCs w:val="20"/>
              </w:rPr>
            </w:pPr>
            <w:r w:rsidRPr="00111E2B">
              <w:rPr>
                <w:rFonts w:eastAsia="DengXian" w:cs="Times New Roman"/>
                <w:b/>
                <w:bCs/>
                <w:szCs w:val="20"/>
                <w:lang w:eastAsia="zh-CN"/>
              </w:rPr>
              <w:t>+ 4dB</w:t>
            </w:r>
          </w:p>
        </w:tc>
      </w:tr>
      <w:tr w:rsidR="001B1CAD" w14:paraId="3F38BA19" w14:textId="77777777" w:rsidTr="007C54B2">
        <w:trPr>
          <w:trHeight w:val="410"/>
        </w:trPr>
        <w:tc>
          <w:tcPr>
            <w:tcW w:w="1257" w:type="dxa"/>
            <w:vMerge w:val="restart"/>
            <w:vAlign w:val="center"/>
          </w:tcPr>
          <w:p w14:paraId="045131C0" w14:textId="68F5C6F5" w:rsidR="001B1CAD" w:rsidRDefault="001B1CAD" w:rsidP="001B1CAD">
            <w:pPr>
              <w:jc w:val="center"/>
            </w:pPr>
            <w:r>
              <w:t>Urban macro</w:t>
            </w:r>
          </w:p>
        </w:tc>
        <w:tc>
          <w:tcPr>
            <w:tcW w:w="2064" w:type="dxa"/>
            <w:vAlign w:val="center"/>
          </w:tcPr>
          <w:p w14:paraId="34287991" w14:textId="3FAEE25E" w:rsidR="001B1CAD" w:rsidRDefault="001B1CAD" w:rsidP="001B1CAD">
            <w:pPr>
              <w:jc w:val="center"/>
            </w:pPr>
            <w:r>
              <w:t>5</w:t>
            </w:r>
            <w:r w:rsidRPr="007B4277">
              <w:rPr>
                <w:vertAlign w:val="superscript"/>
              </w:rPr>
              <w:t>th</w:t>
            </w:r>
            <w:r>
              <w:t xml:space="preserve"> percentile</w:t>
            </w:r>
          </w:p>
        </w:tc>
        <w:tc>
          <w:tcPr>
            <w:tcW w:w="732" w:type="dxa"/>
            <w:vAlign w:val="center"/>
          </w:tcPr>
          <w:p w14:paraId="0FCC89AB" w14:textId="445558B9" w:rsidR="001B1CAD" w:rsidRDefault="001B1CAD" w:rsidP="001B1CAD">
            <w:pPr>
              <w:jc w:val="center"/>
            </w:pPr>
            <w:r>
              <w:t>TBD</w:t>
            </w:r>
          </w:p>
        </w:tc>
        <w:tc>
          <w:tcPr>
            <w:tcW w:w="1321" w:type="dxa"/>
            <w:vAlign w:val="center"/>
          </w:tcPr>
          <w:p w14:paraId="34CA1E5E" w14:textId="05BB8C55" w:rsidR="001B1CAD" w:rsidRDefault="001B1CAD" w:rsidP="001B1CAD">
            <w:pPr>
              <w:jc w:val="center"/>
            </w:pPr>
            <w:r>
              <w:t>TBD</w:t>
            </w:r>
          </w:p>
        </w:tc>
        <w:tc>
          <w:tcPr>
            <w:tcW w:w="1387" w:type="dxa"/>
            <w:vAlign w:val="center"/>
          </w:tcPr>
          <w:p w14:paraId="48FBCD4C" w14:textId="0FC9C250" w:rsidR="001B1CAD" w:rsidRDefault="001B1CAD" w:rsidP="001B1CAD">
            <w:pPr>
              <w:jc w:val="center"/>
            </w:pPr>
            <w:r>
              <w:t>0%</w:t>
            </w:r>
          </w:p>
        </w:tc>
        <w:tc>
          <w:tcPr>
            <w:tcW w:w="1321" w:type="dxa"/>
            <w:vAlign w:val="center"/>
          </w:tcPr>
          <w:p w14:paraId="7EFFAB95" w14:textId="3AA69AC0" w:rsidR="001B1CAD" w:rsidRDefault="001B1CAD" w:rsidP="001B1CAD">
            <w:pPr>
              <w:jc w:val="center"/>
            </w:pPr>
            <w:r>
              <w:t>TBD</w:t>
            </w:r>
          </w:p>
        </w:tc>
        <w:tc>
          <w:tcPr>
            <w:tcW w:w="1321" w:type="dxa"/>
            <w:vAlign w:val="center"/>
          </w:tcPr>
          <w:p w14:paraId="31665E34" w14:textId="30B2ABF5" w:rsidR="001B1CAD" w:rsidRDefault="001B1CAD" w:rsidP="001B1CAD">
            <w:pPr>
              <w:jc w:val="center"/>
            </w:pPr>
            <w:r>
              <w:t>TBD</w:t>
            </w:r>
          </w:p>
        </w:tc>
      </w:tr>
      <w:tr w:rsidR="001B1CAD" w14:paraId="2C3E39F8" w14:textId="77777777" w:rsidTr="007C54B2">
        <w:trPr>
          <w:trHeight w:val="428"/>
        </w:trPr>
        <w:tc>
          <w:tcPr>
            <w:tcW w:w="1257" w:type="dxa"/>
            <w:vMerge/>
            <w:vAlign w:val="center"/>
          </w:tcPr>
          <w:p w14:paraId="006E974A" w14:textId="77777777" w:rsidR="001B1CAD" w:rsidRDefault="001B1CAD" w:rsidP="001B1CAD">
            <w:pPr>
              <w:jc w:val="center"/>
            </w:pPr>
          </w:p>
        </w:tc>
        <w:tc>
          <w:tcPr>
            <w:tcW w:w="2064" w:type="dxa"/>
            <w:vAlign w:val="center"/>
          </w:tcPr>
          <w:p w14:paraId="7E481650" w14:textId="56A9F915" w:rsidR="001B1CAD" w:rsidRDefault="001B1CAD" w:rsidP="001B1CAD">
            <w:pPr>
              <w:jc w:val="center"/>
            </w:pPr>
            <w:r>
              <w:t>50</w:t>
            </w:r>
            <w:r w:rsidRPr="007B4277">
              <w:rPr>
                <w:vertAlign w:val="superscript"/>
              </w:rPr>
              <w:t>th</w:t>
            </w:r>
            <w:r>
              <w:t xml:space="preserve"> percentile</w:t>
            </w:r>
          </w:p>
        </w:tc>
        <w:tc>
          <w:tcPr>
            <w:tcW w:w="732" w:type="dxa"/>
            <w:vAlign w:val="center"/>
          </w:tcPr>
          <w:p w14:paraId="2E8CF4F9" w14:textId="193982BB" w:rsidR="001B1CAD" w:rsidRDefault="001B1CAD" w:rsidP="001B1CAD">
            <w:pPr>
              <w:jc w:val="center"/>
            </w:pPr>
            <w:r>
              <w:t>TBD</w:t>
            </w:r>
          </w:p>
        </w:tc>
        <w:tc>
          <w:tcPr>
            <w:tcW w:w="1321" w:type="dxa"/>
            <w:vAlign w:val="center"/>
          </w:tcPr>
          <w:p w14:paraId="709EBC50" w14:textId="0703458A" w:rsidR="001B1CAD" w:rsidRDefault="001B1CAD" w:rsidP="001B1CAD">
            <w:pPr>
              <w:jc w:val="center"/>
            </w:pPr>
            <w:r>
              <w:t>TBD</w:t>
            </w:r>
          </w:p>
        </w:tc>
        <w:tc>
          <w:tcPr>
            <w:tcW w:w="1387" w:type="dxa"/>
            <w:vAlign w:val="center"/>
          </w:tcPr>
          <w:p w14:paraId="14AB2A53" w14:textId="33670B28" w:rsidR="001B1CAD" w:rsidRDefault="001B1CAD" w:rsidP="001B1CAD">
            <w:pPr>
              <w:jc w:val="center"/>
            </w:pPr>
            <w:r>
              <w:t>+0.49%</w:t>
            </w:r>
          </w:p>
        </w:tc>
        <w:tc>
          <w:tcPr>
            <w:tcW w:w="1321" w:type="dxa"/>
            <w:vAlign w:val="center"/>
          </w:tcPr>
          <w:p w14:paraId="05835CF1" w14:textId="248B91BE" w:rsidR="001B1CAD" w:rsidRDefault="001B1CAD" w:rsidP="001B1CAD">
            <w:pPr>
              <w:jc w:val="center"/>
            </w:pPr>
            <w:r>
              <w:t>TBD</w:t>
            </w:r>
          </w:p>
        </w:tc>
        <w:tc>
          <w:tcPr>
            <w:tcW w:w="1321" w:type="dxa"/>
            <w:vAlign w:val="center"/>
          </w:tcPr>
          <w:p w14:paraId="1B91322A" w14:textId="517B9AB7" w:rsidR="001B1CAD" w:rsidRDefault="001B1CAD" w:rsidP="001B1CAD">
            <w:pPr>
              <w:jc w:val="center"/>
            </w:pPr>
            <w:r>
              <w:t>TBD</w:t>
            </w:r>
          </w:p>
        </w:tc>
      </w:tr>
      <w:tr w:rsidR="001B1CAD" w14:paraId="13B0E538" w14:textId="77777777" w:rsidTr="007C54B2">
        <w:trPr>
          <w:trHeight w:val="410"/>
        </w:trPr>
        <w:tc>
          <w:tcPr>
            <w:tcW w:w="1257" w:type="dxa"/>
            <w:vMerge w:val="restart"/>
            <w:vAlign w:val="center"/>
          </w:tcPr>
          <w:p w14:paraId="1222E6D3" w14:textId="37DE8DD4" w:rsidR="001B1CAD" w:rsidRDefault="001B1CAD" w:rsidP="001B1CAD">
            <w:pPr>
              <w:jc w:val="center"/>
            </w:pPr>
            <w:r>
              <w:t>Urban hotspot</w:t>
            </w:r>
            <w:r w:rsidDel="00061BA4">
              <w:t xml:space="preserve"> </w:t>
            </w:r>
          </w:p>
        </w:tc>
        <w:tc>
          <w:tcPr>
            <w:tcW w:w="2064" w:type="dxa"/>
            <w:vAlign w:val="center"/>
          </w:tcPr>
          <w:p w14:paraId="6A42A839" w14:textId="78F926DC" w:rsidR="001B1CAD" w:rsidRDefault="001B1CAD" w:rsidP="001B1CAD">
            <w:pPr>
              <w:jc w:val="center"/>
            </w:pPr>
            <w:r>
              <w:t>5</w:t>
            </w:r>
            <w:r w:rsidRPr="007B4277">
              <w:rPr>
                <w:vertAlign w:val="superscript"/>
              </w:rPr>
              <w:t>th</w:t>
            </w:r>
            <w:r>
              <w:t xml:space="preserve"> percentile</w:t>
            </w:r>
          </w:p>
        </w:tc>
        <w:tc>
          <w:tcPr>
            <w:tcW w:w="732" w:type="dxa"/>
            <w:vAlign w:val="center"/>
          </w:tcPr>
          <w:p w14:paraId="1A3C7757" w14:textId="4E590B63" w:rsidR="001B1CAD" w:rsidRDefault="001B1CAD" w:rsidP="001B1CAD">
            <w:pPr>
              <w:jc w:val="center"/>
            </w:pPr>
            <w:r>
              <w:t>TBD</w:t>
            </w:r>
          </w:p>
        </w:tc>
        <w:tc>
          <w:tcPr>
            <w:tcW w:w="1321" w:type="dxa"/>
            <w:vAlign w:val="center"/>
          </w:tcPr>
          <w:p w14:paraId="1CBAF5E9" w14:textId="238F7C80" w:rsidR="001B1CAD" w:rsidRDefault="001B1CAD" w:rsidP="001B1CAD">
            <w:pPr>
              <w:jc w:val="center"/>
            </w:pPr>
            <w:r>
              <w:t>TBD</w:t>
            </w:r>
          </w:p>
        </w:tc>
        <w:tc>
          <w:tcPr>
            <w:tcW w:w="1387" w:type="dxa"/>
            <w:vAlign w:val="center"/>
          </w:tcPr>
          <w:p w14:paraId="4B78B30D" w14:textId="2D61B2A9" w:rsidR="001B1CAD" w:rsidRDefault="00DA7D6D" w:rsidP="001B1CAD">
            <w:pPr>
              <w:jc w:val="center"/>
            </w:pPr>
            <w:r>
              <w:t>-42.58%</w:t>
            </w:r>
          </w:p>
        </w:tc>
        <w:tc>
          <w:tcPr>
            <w:tcW w:w="1321" w:type="dxa"/>
            <w:vAlign w:val="center"/>
          </w:tcPr>
          <w:p w14:paraId="7079D788" w14:textId="1962DF45" w:rsidR="001B1CAD" w:rsidRDefault="001B1CAD" w:rsidP="001B1CAD">
            <w:pPr>
              <w:jc w:val="center"/>
            </w:pPr>
            <w:r>
              <w:t>TBD</w:t>
            </w:r>
          </w:p>
        </w:tc>
        <w:tc>
          <w:tcPr>
            <w:tcW w:w="1321" w:type="dxa"/>
            <w:vAlign w:val="center"/>
          </w:tcPr>
          <w:p w14:paraId="0D4E6622" w14:textId="0DEB331E" w:rsidR="001B1CAD" w:rsidRDefault="001B1CAD" w:rsidP="001B1CAD">
            <w:pPr>
              <w:jc w:val="center"/>
            </w:pPr>
            <w:r>
              <w:t>TBD</w:t>
            </w:r>
          </w:p>
        </w:tc>
      </w:tr>
      <w:tr w:rsidR="001B1CAD" w14:paraId="79F9241B" w14:textId="77777777" w:rsidTr="007C54B2">
        <w:trPr>
          <w:trHeight w:val="428"/>
        </w:trPr>
        <w:tc>
          <w:tcPr>
            <w:tcW w:w="1257" w:type="dxa"/>
            <w:vMerge/>
            <w:vAlign w:val="center"/>
          </w:tcPr>
          <w:p w14:paraId="6215A44C" w14:textId="77777777" w:rsidR="001B1CAD" w:rsidRDefault="001B1CAD" w:rsidP="001B1CAD">
            <w:pPr>
              <w:jc w:val="center"/>
            </w:pPr>
          </w:p>
        </w:tc>
        <w:tc>
          <w:tcPr>
            <w:tcW w:w="2064" w:type="dxa"/>
            <w:vAlign w:val="center"/>
          </w:tcPr>
          <w:p w14:paraId="04565809" w14:textId="0954BF16" w:rsidR="001B1CAD" w:rsidRDefault="001B1CAD" w:rsidP="001B1CAD">
            <w:pPr>
              <w:jc w:val="center"/>
            </w:pPr>
            <w:r>
              <w:t>50</w:t>
            </w:r>
            <w:r w:rsidRPr="007B4277">
              <w:rPr>
                <w:vertAlign w:val="superscript"/>
              </w:rPr>
              <w:t>th</w:t>
            </w:r>
            <w:r>
              <w:t xml:space="preserve"> percentile</w:t>
            </w:r>
          </w:p>
        </w:tc>
        <w:tc>
          <w:tcPr>
            <w:tcW w:w="732" w:type="dxa"/>
            <w:vAlign w:val="center"/>
          </w:tcPr>
          <w:p w14:paraId="7F7BF7B4" w14:textId="4916AB6F" w:rsidR="001B1CAD" w:rsidRDefault="001B1CAD" w:rsidP="001B1CAD">
            <w:pPr>
              <w:jc w:val="center"/>
            </w:pPr>
            <w:r>
              <w:t>TBD</w:t>
            </w:r>
          </w:p>
        </w:tc>
        <w:tc>
          <w:tcPr>
            <w:tcW w:w="1321" w:type="dxa"/>
            <w:vAlign w:val="center"/>
          </w:tcPr>
          <w:p w14:paraId="51DABB8F" w14:textId="52A80B46" w:rsidR="001B1CAD" w:rsidRDefault="001B1CAD" w:rsidP="001B1CAD">
            <w:pPr>
              <w:jc w:val="center"/>
            </w:pPr>
            <w:r>
              <w:t>TBD</w:t>
            </w:r>
          </w:p>
        </w:tc>
        <w:tc>
          <w:tcPr>
            <w:tcW w:w="1387" w:type="dxa"/>
            <w:vAlign w:val="center"/>
          </w:tcPr>
          <w:p w14:paraId="4F5A50DD" w14:textId="1BBC10FD" w:rsidR="001B1CAD" w:rsidRDefault="001B1CAD" w:rsidP="001B1CAD">
            <w:pPr>
              <w:jc w:val="center"/>
            </w:pPr>
            <w:r>
              <w:t>-12.17%</w:t>
            </w:r>
          </w:p>
        </w:tc>
        <w:tc>
          <w:tcPr>
            <w:tcW w:w="1321" w:type="dxa"/>
            <w:vAlign w:val="center"/>
          </w:tcPr>
          <w:p w14:paraId="56DD080C" w14:textId="011C2B38" w:rsidR="001B1CAD" w:rsidRDefault="001B1CAD" w:rsidP="001B1CAD">
            <w:pPr>
              <w:jc w:val="center"/>
            </w:pPr>
            <w:r>
              <w:t>TBD</w:t>
            </w:r>
          </w:p>
        </w:tc>
        <w:tc>
          <w:tcPr>
            <w:tcW w:w="1321" w:type="dxa"/>
            <w:vAlign w:val="center"/>
          </w:tcPr>
          <w:p w14:paraId="788AA56C" w14:textId="1314AC6A" w:rsidR="001B1CAD" w:rsidRDefault="001B1CAD" w:rsidP="001B1CAD">
            <w:pPr>
              <w:jc w:val="center"/>
            </w:pPr>
            <w:r>
              <w:t>TBD</w:t>
            </w:r>
          </w:p>
        </w:tc>
      </w:tr>
    </w:tbl>
    <w:p w14:paraId="5DA5F4C4" w14:textId="77777777" w:rsidR="00C2773B" w:rsidRDefault="00C2773B" w:rsidP="00D41049"/>
    <w:p w14:paraId="17FD8817" w14:textId="77777777" w:rsidR="00190F00" w:rsidRDefault="00190F00" w:rsidP="00D41049"/>
    <w:p w14:paraId="553BA54B" w14:textId="2C242857" w:rsidR="00190F00" w:rsidRDefault="00E27236" w:rsidP="00E27236">
      <w:pPr>
        <w:pStyle w:val="RAN4H2"/>
      </w:pPr>
      <w:r>
        <w:t xml:space="preserve">NR TDD UL as victim (Case </w:t>
      </w:r>
      <w:r w:rsidR="003755B9">
        <w:t>2</w:t>
      </w:r>
      <w:r>
        <w:t>)</w:t>
      </w:r>
    </w:p>
    <w:p w14:paraId="67070617" w14:textId="77777777" w:rsidR="00E27236" w:rsidRDefault="00E27236" w:rsidP="00E27236"/>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58"/>
        <w:gridCol w:w="1358"/>
        <w:gridCol w:w="3105"/>
        <w:gridCol w:w="2771"/>
        <w:gridCol w:w="868"/>
      </w:tblGrid>
      <w:tr w:rsidR="00AF38AF" w:rsidRPr="006E37C3" w14:paraId="110B9784" w14:textId="77777777">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EA0E3"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8EEBA6"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30836"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 xml:space="preserve">Figures: </w:t>
            </w:r>
          </w:p>
          <w:p w14:paraId="548ECF57"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Aggressor(left) and Victim(right)</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520A3"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B1D380" w14:textId="77777777" w:rsidR="00AF38AF" w:rsidRPr="006E37C3" w:rsidRDefault="00AF38AF">
            <w:pPr>
              <w:spacing w:after="0"/>
              <w:jc w:val="center"/>
              <w:rPr>
                <w:rFonts w:ascii="Arial" w:eastAsia="Times New Roman" w:hAnsi="Arial" w:cs="Arial"/>
                <w:sz w:val="18"/>
                <w:szCs w:val="18"/>
              </w:rPr>
            </w:pPr>
            <w:r w:rsidRPr="006E37C3">
              <w:rPr>
                <w:rFonts w:ascii="Arial" w:eastAsia="Times New Roman" w:hAnsi="Arial" w:cs="Arial"/>
                <w:b/>
                <w:bCs/>
                <w:sz w:val="18"/>
                <w:szCs w:val="18"/>
              </w:rPr>
              <w:t>Priority</w:t>
            </w:r>
          </w:p>
        </w:tc>
      </w:tr>
      <w:tr w:rsidR="003755B9" w:rsidRPr="006E37C3" w14:paraId="0CBD3A92" w14:textId="77777777">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05768" w14:textId="3301F545" w:rsidR="003755B9" w:rsidRPr="006E37C3" w:rsidRDefault="003755B9" w:rsidP="003755B9">
            <w:pPr>
              <w:spacing w:after="0"/>
              <w:jc w:val="center"/>
              <w:rPr>
                <w:rFonts w:ascii="Arial" w:eastAsia="Times New Roman" w:hAnsi="Arial" w:cs="Arial"/>
                <w:sz w:val="18"/>
                <w:szCs w:val="18"/>
              </w:rPr>
            </w:pPr>
            <w:r>
              <w:rPr>
                <w:rFonts w:ascii="Arial" w:hAnsi="Arial" w:cs="Arial"/>
                <w:sz w:val="18"/>
                <w:szCs w:val="18"/>
              </w:rPr>
              <w:t>NR TDD UL</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E5E9F3" w14:textId="2BA53449" w:rsidR="003755B9" w:rsidRPr="006E37C3" w:rsidRDefault="003755B9" w:rsidP="003755B9">
            <w:pPr>
              <w:spacing w:after="0"/>
              <w:jc w:val="center"/>
              <w:rPr>
                <w:rFonts w:ascii="Arial" w:eastAsia="Times New Roman" w:hAnsi="Arial" w:cs="Arial"/>
                <w:sz w:val="18"/>
                <w:szCs w:val="18"/>
              </w:rPr>
            </w:pPr>
            <w:r>
              <w:rPr>
                <w:rFonts w:ascii="Arial" w:hAnsi="Arial" w:cs="Arial"/>
                <w:sz w:val="18"/>
                <w:szCs w:val="18"/>
              </w:rPr>
              <w:t>SBFD (DU)</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BA9D0" w14:textId="77777777" w:rsidR="003755B9" w:rsidRDefault="003755B9" w:rsidP="003755B9">
            <w:pPr>
              <w:pStyle w:val="NormalWeb"/>
              <w:spacing w:before="0" w:beforeAutospacing="0" w:after="0" w:afterAutospacing="0"/>
              <w:jc w:val="center"/>
              <w:rPr>
                <w:rFonts w:ascii="Calibri" w:hAnsi="Calibri" w:cs="Calibri"/>
                <w:sz w:val="22"/>
                <w:szCs w:val="22"/>
                <w:lang w:val="pl-PL"/>
              </w:rPr>
            </w:pPr>
            <w:r>
              <w:rPr>
                <w:rFonts w:ascii="Calibri" w:hAnsi="Calibri" w:cs="Calibri"/>
                <w:sz w:val="22"/>
                <w:szCs w:val="22"/>
                <w:lang w:val="pl-PL"/>
              </w:rPr>
              <w:t> </w:t>
            </w:r>
          </w:p>
          <w:p w14:paraId="152E4324" w14:textId="77777777" w:rsidR="003755B9" w:rsidRDefault="00591CED" w:rsidP="003755B9">
            <w:pPr>
              <w:pStyle w:val="NormalWeb"/>
              <w:spacing w:before="0" w:beforeAutospacing="0" w:after="0" w:afterAutospacing="0"/>
              <w:rPr>
                <w:rFonts w:ascii="Times New Roman" w:hAnsi="Times New Roman" w:cs="Times New Roman"/>
              </w:rPr>
            </w:pPr>
            <w:r>
              <w:rPr>
                <w:rFonts w:ascii="Arial" w:hAnsi="Arial" w:cs="Arial"/>
                <w:sz w:val="18"/>
                <w:szCs w:val="18"/>
              </w:rPr>
              <w:pict w14:anchorId="7F487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14.25pt">
                  <v:imagedata r:id="rId17" o:title="F5E8EAD3"/>
                </v:shape>
              </w:pict>
            </w:r>
          </w:p>
          <w:p w14:paraId="2AD286DC" w14:textId="77777777" w:rsidR="003755B9" w:rsidRDefault="003755B9" w:rsidP="003755B9">
            <w:pPr>
              <w:pStyle w:val="NormalWeb"/>
              <w:spacing w:before="0" w:beforeAutospacing="0" w:after="0" w:afterAutospacing="0"/>
              <w:jc w:val="center"/>
              <w:rPr>
                <w:rFonts w:ascii="Calibri" w:hAnsi="Calibri" w:cs="Calibri"/>
                <w:sz w:val="22"/>
                <w:szCs w:val="22"/>
                <w:lang w:val="pl-PL"/>
              </w:rPr>
            </w:pPr>
            <w:r>
              <w:rPr>
                <w:rFonts w:ascii="Calibri" w:hAnsi="Calibri" w:cs="Calibri"/>
                <w:sz w:val="22"/>
                <w:szCs w:val="22"/>
                <w:lang w:val="pl-PL"/>
              </w:rPr>
              <w:t> </w:t>
            </w:r>
          </w:p>
          <w:p w14:paraId="5CDA269F" w14:textId="698C6409" w:rsidR="003755B9" w:rsidRPr="006E37C3" w:rsidRDefault="003755B9" w:rsidP="003755B9">
            <w:pPr>
              <w:spacing w:after="0"/>
              <w:jc w:val="center"/>
              <w:rPr>
                <w:rFonts w:ascii="Arial" w:eastAsia="Times New Roman" w:hAnsi="Arial" w:cs="Arial"/>
                <w:sz w:val="18"/>
                <w:szCs w:val="18"/>
              </w:rPr>
            </w:pPr>
            <w:r>
              <w:rPr>
                <w:rFonts w:ascii="Arial" w:hAnsi="Arial" w:cs="Arial"/>
                <w:sz w:val="18"/>
                <w:szCs w:val="18"/>
              </w:rPr>
              <w:t>Case 2</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EFE6E" w14:textId="49E69D5D" w:rsidR="003755B9" w:rsidRPr="006E37C3" w:rsidRDefault="003755B9" w:rsidP="00E00174">
            <w:pPr>
              <w:spacing w:after="0"/>
              <w:jc w:val="center"/>
              <w:rPr>
                <w:rFonts w:ascii="Calibri" w:eastAsia="Times New Roman" w:hAnsi="Calibri" w:cs="Calibri"/>
                <w:sz w:val="22"/>
              </w:rPr>
            </w:pPr>
            <w:r>
              <w:rPr>
                <w:rFonts w:ascii="Arial" w:hAnsi="Arial" w:cs="Arial"/>
                <w:sz w:val="18"/>
                <w:szCs w:val="18"/>
              </w:rPr>
              <w:t>NR TDD UL</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39AFA" w14:textId="57292762" w:rsidR="003755B9" w:rsidRPr="006E37C3" w:rsidRDefault="003755B9" w:rsidP="003755B9">
            <w:pPr>
              <w:spacing w:after="0"/>
              <w:jc w:val="center"/>
              <w:rPr>
                <w:rFonts w:ascii="Arial" w:eastAsia="Times New Roman" w:hAnsi="Arial" w:cs="Arial"/>
                <w:sz w:val="18"/>
                <w:szCs w:val="18"/>
              </w:rPr>
            </w:pPr>
            <w:r>
              <w:rPr>
                <w:rFonts w:ascii="Arial" w:hAnsi="Arial" w:cs="Arial"/>
                <w:sz w:val="18"/>
                <w:szCs w:val="18"/>
              </w:rPr>
              <w:t>Low</w:t>
            </w:r>
          </w:p>
        </w:tc>
      </w:tr>
    </w:tbl>
    <w:p w14:paraId="7FF4C3FF" w14:textId="77777777" w:rsidR="00AF38AF" w:rsidRDefault="00AF38AF" w:rsidP="00E27236"/>
    <w:p w14:paraId="71B660D1" w14:textId="059C3AF2" w:rsidR="00AF38AF" w:rsidRDefault="0014108E" w:rsidP="00E27236">
      <w:r>
        <w:t xml:space="preserve">In this scenario, </w:t>
      </w:r>
      <w:r w:rsidR="00277F9C">
        <w:t xml:space="preserve">the intention is to measure the performance degradation of an NR TDD UL carrier in presence of an aggressor NR TDD UL </w:t>
      </w:r>
      <w:r w:rsidR="00792BBC">
        <w:t xml:space="preserve">or an aggressor SBFD. The key aspect of this coexistence case is to analyze the impact of the gNB-to-gNB CLI that </w:t>
      </w:r>
      <w:r w:rsidR="001F3079">
        <w:t>appears when the aggressor uses SBFD.</w:t>
      </w:r>
      <w:r w:rsidR="006403B4">
        <w:t xml:space="preserve"> </w:t>
      </w:r>
      <w:r w:rsidR="002462B9">
        <w:t>In this contribution</w:t>
      </w:r>
      <w:r w:rsidR="008B31C9">
        <w:t xml:space="preserve">, we study 100% and 10% grid shift scenarios. </w:t>
      </w:r>
    </w:p>
    <w:p w14:paraId="53951218" w14:textId="0E634776" w:rsidR="002B35AE" w:rsidRDefault="00F57B52" w:rsidP="00E27236">
      <w:r>
        <w:fldChar w:fldCharType="begin"/>
      </w:r>
      <w:r>
        <w:instrText xml:space="preserve"> REF _Ref135071305 \h </w:instrText>
      </w:r>
      <w:r>
        <w:fldChar w:fldCharType="separate"/>
      </w:r>
      <w:r w:rsidR="003230CF">
        <w:t xml:space="preserve">Figure </w:t>
      </w:r>
      <w:r w:rsidR="003230CF">
        <w:rPr>
          <w:noProof/>
        </w:rPr>
        <w:t>4</w:t>
      </w:r>
      <w:r>
        <w:fldChar w:fldCharType="end"/>
      </w:r>
      <w:r>
        <w:t xml:space="preserve"> </w:t>
      </w:r>
      <w:r w:rsidR="008B31C9">
        <w:t>shows the UL SINR at the victim NR TDD UL carrier</w:t>
      </w:r>
      <w:r w:rsidR="002B35AE">
        <w:t xml:space="preserve"> for the 2 considered grid-shifts and different aggressors. As expected, SBFD is </w:t>
      </w:r>
      <w:r w:rsidR="00B731C6">
        <w:t xml:space="preserve">showing larger SINR degradation </w:t>
      </w:r>
      <w:r w:rsidR="782C255E">
        <w:t>t</w:t>
      </w:r>
      <w:r w:rsidR="7DC34013">
        <w:t xml:space="preserve">han </w:t>
      </w:r>
      <w:r w:rsidR="782C255E">
        <w:t xml:space="preserve">the </w:t>
      </w:r>
      <w:r w:rsidR="00B731C6">
        <w:t xml:space="preserve">baseline case (with NR TDD UL as aggressor). The high transmit power at the gNBs creates </w:t>
      </w:r>
      <w:r w:rsidR="00F82CA2">
        <w:t xml:space="preserve">harmful adjacent cross-link interference to the NR TDD UL gNBs. This effect gets worse when </w:t>
      </w:r>
      <w:r w:rsidR="00D660F7">
        <w:t>using 10% grid shift since the minimum distance between 2 base stations from different operators is reduced from 28</w:t>
      </w:r>
      <w:r w:rsidR="009E3763">
        <w:t xml:space="preserve">9 </w:t>
      </w:r>
      <w:r w:rsidR="00D660F7">
        <w:t>m</w:t>
      </w:r>
      <w:r w:rsidR="009E3763">
        <w:t>eters</w:t>
      </w:r>
      <w:r w:rsidR="00D660F7">
        <w:t xml:space="preserve"> to</w:t>
      </w:r>
      <w:r w:rsidR="009E3763">
        <w:t xml:space="preserve"> 28.9 meters</w:t>
      </w:r>
      <w:r w:rsidR="004201DF">
        <w:t>.</w:t>
      </w:r>
      <w:r w:rsidR="00C657D3">
        <w:t xml:space="preserve"> For this coexistence case we assume uniform distribution of the UEs.</w:t>
      </w:r>
    </w:p>
    <w:p w14:paraId="552BDD50" w14:textId="1D0ED79B" w:rsidR="00D446BF" w:rsidRDefault="00D446BF" w:rsidP="00E27236">
      <w:r>
        <w:fldChar w:fldCharType="begin"/>
      </w:r>
      <w:r>
        <w:instrText xml:space="preserve"> REF _Ref135074573 \h </w:instrText>
      </w:r>
      <w:r>
        <w:fldChar w:fldCharType="separate"/>
      </w:r>
      <w:r>
        <w:t xml:space="preserve">Figure </w:t>
      </w:r>
      <w:r>
        <w:rPr>
          <w:noProof/>
        </w:rPr>
        <w:t>5</w:t>
      </w:r>
      <w:r>
        <w:fldChar w:fldCharType="end"/>
      </w:r>
      <w:r>
        <w:t xml:space="preserve"> details the SINR comparison at the </w:t>
      </w:r>
      <w:r w:rsidR="00B3533F">
        <w:t>50</w:t>
      </w:r>
      <w:r w:rsidR="00B3533F" w:rsidRPr="007C54B2">
        <w:rPr>
          <w:vertAlign w:val="superscript"/>
        </w:rPr>
        <w:t>th</w:t>
      </w:r>
      <w:r w:rsidR="00B3533F">
        <w:t xml:space="preserve"> percentile (left) and </w:t>
      </w:r>
      <w:r w:rsidR="002B64D8">
        <w:t>5</w:t>
      </w:r>
      <w:r w:rsidR="002B64D8" w:rsidRPr="007C54B2">
        <w:rPr>
          <w:vertAlign w:val="superscript"/>
        </w:rPr>
        <w:t>th</w:t>
      </w:r>
      <w:r w:rsidR="002B64D8">
        <w:t xml:space="preserve"> percentile (right).</w:t>
      </w:r>
    </w:p>
    <w:p w14:paraId="0F3477C7" w14:textId="77777777" w:rsidR="00EE44C4" w:rsidRDefault="00EE44C4" w:rsidP="00EE44C4">
      <w:pPr>
        <w:keepNext/>
      </w:pPr>
      <w:r>
        <w:rPr>
          <w:noProof/>
        </w:rPr>
        <w:drawing>
          <wp:inline distT="0" distB="0" distL="0" distR="0" wp14:anchorId="62E50D2C" wp14:editId="0AF96768">
            <wp:extent cx="6113145" cy="2510155"/>
            <wp:effectExtent l="0" t="0" r="1905"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3145" cy="2510155"/>
                    </a:xfrm>
                    <a:prstGeom prst="rect">
                      <a:avLst/>
                    </a:prstGeom>
                  </pic:spPr>
                </pic:pic>
              </a:graphicData>
            </a:graphic>
          </wp:inline>
        </w:drawing>
      </w:r>
    </w:p>
    <w:p w14:paraId="4D0DA871" w14:textId="2EDEB189" w:rsidR="004201DF" w:rsidRDefault="00EE44C4" w:rsidP="00EE44C4">
      <w:pPr>
        <w:pStyle w:val="Caption"/>
        <w:jc w:val="left"/>
      </w:pPr>
      <w:bookmarkStart w:id="14" w:name="_Ref135071305"/>
      <w:r>
        <w:t xml:space="preserve">Figure </w:t>
      </w:r>
      <w:r>
        <w:fldChar w:fldCharType="begin"/>
      </w:r>
      <w:r>
        <w:instrText xml:space="preserve"> SEQ Figure \* ARABIC </w:instrText>
      </w:r>
      <w:r>
        <w:fldChar w:fldCharType="separate"/>
      </w:r>
      <w:r w:rsidR="003230CF">
        <w:rPr>
          <w:noProof/>
        </w:rPr>
        <w:t>4</w:t>
      </w:r>
      <w:r>
        <w:fldChar w:fldCharType="end"/>
      </w:r>
      <w:bookmarkEnd w:id="14"/>
      <w:r w:rsidR="00D2748F">
        <w:t>. UL SINR at victim NR TDD UL when NR TDD UL and SBFD are assumed as aggressors for Urban Macro 100% grid shift (left) and Urban Macro 10% grid shift (right)</w:t>
      </w:r>
    </w:p>
    <w:p w14:paraId="3FBDFC35" w14:textId="547AEFE2" w:rsidR="00B17347" w:rsidRDefault="00B17347" w:rsidP="007C54B2">
      <w:pPr>
        <w:pStyle w:val="RAN4observation0"/>
      </w:pPr>
      <w:bookmarkStart w:id="15" w:name="_Toc135075340"/>
      <w:r>
        <w:t xml:space="preserve">For coexistence case 2, </w:t>
      </w:r>
      <w:r w:rsidR="00105C88">
        <w:t xml:space="preserve">when </w:t>
      </w:r>
      <w:r w:rsidR="00E62FDE">
        <w:t xml:space="preserve">SBFD is the aggressor technology, </w:t>
      </w:r>
      <w:r w:rsidR="00126739">
        <w:t xml:space="preserve">there is UL SINR degradation in all percentiles </w:t>
      </w:r>
      <w:r w:rsidR="00E62FDE">
        <w:t>for</w:t>
      </w:r>
      <w:r w:rsidR="00126739">
        <w:t xml:space="preserve"> 10% or 100% grid </w:t>
      </w:r>
      <w:r w:rsidR="00DF02A4">
        <w:t>shifts</w:t>
      </w:r>
      <w:r w:rsidR="00E62FDE">
        <w:t xml:space="preserve">, when compared to the UL SINR when the victim </w:t>
      </w:r>
      <w:r w:rsidR="0099320E">
        <w:t xml:space="preserve">is subject to interference from </w:t>
      </w:r>
      <w:r w:rsidR="00A71733">
        <w:t>TDD.</w:t>
      </w:r>
      <w:bookmarkEnd w:id="15"/>
      <w:r w:rsidR="00A71733">
        <w:t xml:space="preserve"> </w:t>
      </w:r>
      <w:r w:rsidR="00126739">
        <w:t xml:space="preserve"> </w:t>
      </w:r>
      <w:r>
        <w:br/>
      </w:r>
    </w:p>
    <w:p w14:paraId="50B82E37" w14:textId="77777777" w:rsidR="00851170" w:rsidRPr="00851170" w:rsidRDefault="00851170" w:rsidP="007C54B2"/>
    <w:p w14:paraId="478ACCCD" w14:textId="77777777" w:rsidR="003F73A2" w:rsidRDefault="00BA0A12" w:rsidP="003F73A2">
      <w:pPr>
        <w:keepNext/>
      </w:pPr>
      <w:r>
        <w:rPr>
          <w:noProof/>
        </w:rPr>
        <w:drawing>
          <wp:inline distT="0" distB="0" distL="0" distR="0" wp14:anchorId="05A19912" wp14:editId="68E1A27B">
            <wp:extent cx="6113145" cy="2466975"/>
            <wp:effectExtent l="0" t="0" r="190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3145" cy="2466975"/>
                    </a:xfrm>
                    <a:prstGeom prst="rect">
                      <a:avLst/>
                    </a:prstGeom>
                  </pic:spPr>
                </pic:pic>
              </a:graphicData>
            </a:graphic>
          </wp:inline>
        </w:drawing>
      </w:r>
    </w:p>
    <w:p w14:paraId="7805003E" w14:textId="6169F7AC" w:rsidR="00BA0A12" w:rsidRDefault="003F73A2" w:rsidP="003560C4">
      <w:pPr>
        <w:pStyle w:val="Caption"/>
      </w:pPr>
      <w:bookmarkStart w:id="16" w:name="_Ref135074573"/>
      <w:r>
        <w:t xml:space="preserve">Figure </w:t>
      </w:r>
      <w:r>
        <w:fldChar w:fldCharType="begin"/>
      </w:r>
      <w:r>
        <w:instrText xml:space="preserve"> SEQ Figure \* ARABIC </w:instrText>
      </w:r>
      <w:r>
        <w:fldChar w:fldCharType="separate"/>
      </w:r>
      <w:r w:rsidR="003230CF">
        <w:rPr>
          <w:noProof/>
        </w:rPr>
        <w:t>5</w:t>
      </w:r>
      <w:r>
        <w:fldChar w:fldCharType="end"/>
      </w:r>
      <w:bookmarkEnd w:id="16"/>
      <w:r w:rsidR="003560C4">
        <w:t>. Summary of the UL SINR for Case 2</w:t>
      </w:r>
    </w:p>
    <w:p w14:paraId="7A39E0F6" w14:textId="34BD2409" w:rsidR="009221A3" w:rsidRPr="009221A3" w:rsidRDefault="009221A3" w:rsidP="009221A3">
      <w:r>
        <w:fldChar w:fldCharType="begin"/>
      </w:r>
      <w:r>
        <w:instrText xml:space="preserve"> REF _Ref135071433 \h </w:instrText>
      </w:r>
      <w:r>
        <w:fldChar w:fldCharType="separate"/>
      </w:r>
      <w:r>
        <w:t xml:space="preserve">Figure </w:t>
      </w:r>
      <w:r>
        <w:rPr>
          <w:noProof/>
        </w:rPr>
        <w:t>6</w:t>
      </w:r>
      <w:r>
        <w:fldChar w:fldCharType="end"/>
      </w:r>
      <w:r>
        <w:t xml:space="preserve"> shows the </w:t>
      </w:r>
      <w:r w:rsidR="001F059B">
        <w:t>absolute values of the UL throughput at the NR TDD UL victim</w:t>
      </w:r>
      <w:r w:rsidR="00750DE9">
        <w:t xml:space="preserve">. As </w:t>
      </w:r>
      <w:r w:rsidR="00275A26">
        <w:t>expected,</w:t>
      </w:r>
      <w:r w:rsidR="00750DE9">
        <w:t xml:space="preserve"> based on the SINR curves, having SBFD as an aggressor reduces the UL throughput due to the presence of </w:t>
      </w:r>
      <w:r w:rsidR="00275A26">
        <w:t xml:space="preserve">gNB-gNB CLI. </w:t>
      </w:r>
      <w:r w:rsidR="00832103">
        <w:t xml:space="preserve">We also observe that the </w:t>
      </w:r>
      <w:r w:rsidR="00797673">
        <w:t>5</w:t>
      </w:r>
      <w:r w:rsidR="00797673" w:rsidRPr="00797673">
        <w:rPr>
          <w:vertAlign w:val="superscript"/>
        </w:rPr>
        <w:t>th</w:t>
      </w:r>
      <w:r w:rsidR="00797673">
        <w:t xml:space="preserve"> UL throughput is </w:t>
      </w:r>
      <w:r w:rsidR="007618FD">
        <w:t xml:space="preserve">always 0 for any of the configurations. </w:t>
      </w:r>
    </w:p>
    <w:p w14:paraId="2A60643C" w14:textId="5B189797" w:rsidR="003F73A2" w:rsidRDefault="003F73A2" w:rsidP="003F73A2">
      <w:pPr>
        <w:keepNext/>
      </w:pPr>
      <w:r>
        <w:rPr>
          <w:noProof/>
        </w:rPr>
        <w:drawing>
          <wp:inline distT="0" distB="0" distL="0" distR="0" wp14:anchorId="5221654E" wp14:editId="23505D84">
            <wp:extent cx="6113145" cy="25019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13145" cy="2501900"/>
                    </a:xfrm>
                    <a:prstGeom prst="rect">
                      <a:avLst/>
                    </a:prstGeom>
                  </pic:spPr>
                </pic:pic>
              </a:graphicData>
            </a:graphic>
          </wp:inline>
        </w:drawing>
      </w:r>
    </w:p>
    <w:p w14:paraId="67564541" w14:textId="61F2FFE8" w:rsidR="001F3079" w:rsidRDefault="003F73A2" w:rsidP="003560C4">
      <w:pPr>
        <w:pStyle w:val="Caption"/>
      </w:pPr>
      <w:bookmarkStart w:id="17" w:name="_Ref135071433"/>
      <w:r>
        <w:t xml:space="preserve">Figure </w:t>
      </w:r>
      <w:r>
        <w:fldChar w:fldCharType="begin"/>
      </w:r>
      <w:r>
        <w:instrText xml:space="preserve"> SEQ Figure \* ARABIC </w:instrText>
      </w:r>
      <w:r>
        <w:fldChar w:fldCharType="separate"/>
      </w:r>
      <w:r w:rsidR="003230CF">
        <w:rPr>
          <w:noProof/>
        </w:rPr>
        <w:t>6</w:t>
      </w:r>
      <w:r>
        <w:fldChar w:fldCharType="end"/>
      </w:r>
      <w:bookmarkEnd w:id="17"/>
      <w:r w:rsidR="003560C4">
        <w:t>. Summary of the UL throughput for Case 2</w:t>
      </w:r>
    </w:p>
    <w:p w14:paraId="626FF0E1" w14:textId="2AC02C99" w:rsidR="001F5078" w:rsidRDefault="001F5078" w:rsidP="001F5078">
      <w:pPr>
        <w:pStyle w:val="Caption"/>
        <w:keepNext/>
      </w:pPr>
      <w:bookmarkStart w:id="18" w:name="_Toc135075068"/>
      <w:bookmarkStart w:id="19" w:name="_Toc135075251"/>
      <w:bookmarkStart w:id="20" w:name="_Toc135075320"/>
      <w:bookmarkStart w:id="21" w:name="_Toc135075341"/>
      <w:bookmarkEnd w:id="18"/>
      <w:bookmarkEnd w:id="19"/>
      <w:bookmarkEnd w:id="20"/>
      <w:bookmarkEnd w:id="21"/>
      <w:r>
        <w:t xml:space="preserve">Table </w:t>
      </w:r>
      <w:r>
        <w:fldChar w:fldCharType="begin"/>
      </w:r>
      <w:r>
        <w:instrText xml:space="preserve"> SEQ Table \* ARABIC </w:instrText>
      </w:r>
      <w:r>
        <w:fldChar w:fldCharType="separate"/>
      </w:r>
      <w:r w:rsidR="003230CF">
        <w:rPr>
          <w:noProof/>
        </w:rPr>
        <w:t>2</w:t>
      </w:r>
      <w:r>
        <w:fldChar w:fldCharType="end"/>
      </w:r>
      <w:r>
        <w:t>. Summary table with NR TDD UL relative throughput performance between aggressor baseline (UL TDD) and aggressor (SBFD)</w:t>
      </w:r>
    </w:p>
    <w:tbl>
      <w:tblPr>
        <w:tblStyle w:val="TableGrid"/>
        <w:tblW w:w="0" w:type="auto"/>
        <w:tblLook w:val="04A0" w:firstRow="1" w:lastRow="0" w:firstColumn="1" w:lastColumn="0" w:noHBand="0" w:noVBand="1"/>
      </w:tblPr>
      <w:tblGrid>
        <w:gridCol w:w="1257"/>
        <w:gridCol w:w="2064"/>
        <w:gridCol w:w="732"/>
        <w:gridCol w:w="1321"/>
        <w:gridCol w:w="1387"/>
        <w:gridCol w:w="1321"/>
        <w:gridCol w:w="1321"/>
      </w:tblGrid>
      <w:tr w:rsidR="00332D17" w14:paraId="22F59D54" w14:textId="77777777" w:rsidTr="007C54B2">
        <w:trPr>
          <w:trHeight w:val="820"/>
        </w:trPr>
        <w:tc>
          <w:tcPr>
            <w:tcW w:w="1257" w:type="dxa"/>
            <w:vAlign w:val="center"/>
          </w:tcPr>
          <w:p w14:paraId="38FB7F38" w14:textId="77777777" w:rsidR="00332D17" w:rsidRPr="00111E2B" w:rsidRDefault="00332D17">
            <w:pPr>
              <w:jc w:val="center"/>
              <w:rPr>
                <w:rFonts w:cs="Times New Roman"/>
                <w:b/>
                <w:bCs/>
                <w:szCs w:val="20"/>
              </w:rPr>
            </w:pPr>
            <w:r w:rsidRPr="00111E2B">
              <w:rPr>
                <w:rFonts w:cs="Times New Roman"/>
                <w:b/>
                <w:bCs/>
                <w:szCs w:val="20"/>
              </w:rPr>
              <w:t>Scenario</w:t>
            </w:r>
          </w:p>
        </w:tc>
        <w:tc>
          <w:tcPr>
            <w:tcW w:w="2064" w:type="dxa"/>
            <w:vAlign w:val="center"/>
          </w:tcPr>
          <w:p w14:paraId="234C556C" w14:textId="77777777" w:rsidR="00332D17" w:rsidRPr="00111E2B" w:rsidRDefault="00332D17">
            <w:pPr>
              <w:jc w:val="center"/>
              <w:rPr>
                <w:rFonts w:cs="Times New Roman"/>
                <w:b/>
                <w:bCs/>
                <w:szCs w:val="20"/>
              </w:rPr>
            </w:pPr>
            <w:r w:rsidRPr="00111E2B">
              <w:rPr>
                <w:rFonts w:cs="Times New Roman"/>
                <w:b/>
                <w:bCs/>
                <w:szCs w:val="20"/>
              </w:rPr>
              <w:t>Observation point</w:t>
            </w:r>
          </w:p>
        </w:tc>
        <w:tc>
          <w:tcPr>
            <w:tcW w:w="732" w:type="dxa"/>
            <w:vAlign w:val="center"/>
          </w:tcPr>
          <w:p w14:paraId="4275CE0D" w14:textId="77777777" w:rsidR="00332D17" w:rsidRPr="00111E2B" w:rsidRDefault="00332D17">
            <w:pPr>
              <w:jc w:val="center"/>
              <w:rPr>
                <w:rFonts w:cs="Times New Roman"/>
                <w:b/>
                <w:bCs/>
                <w:szCs w:val="20"/>
              </w:rPr>
            </w:pPr>
            <w:r w:rsidRPr="00111E2B">
              <w:rPr>
                <w:rFonts w:eastAsia="DengXian" w:cs="Times New Roman"/>
                <w:b/>
                <w:bCs/>
                <w:szCs w:val="20"/>
                <w:lang w:eastAsia="zh-CN"/>
              </w:rPr>
              <w:t>- 4dB</w:t>
            </w:r>
          </w:p>
        </w:tc>
        <w:tc>
          <w:tcPr>
            <w:tcW w:w="1321" w:type="dxa"/>
            <w:vAlign w:val="center"/>
          </w:tcPr>
          <w:p w14:paraId="3C6E9CF1" w14:textId="77777777" w:rsidR="00332D17" w:rsidRPr="00111E2B" w:rsidRDefault="00332D17">
            <w:pPr>
              <w:jc w:val="center"/>
              <w:rPr>
                <w:rFonts w:cs="Times New Roman"/>
                <w:b/>
                <w:bCs/>
                <w:szCs w:val="20"/>
              </w:rPr>
            </w:pPr>
            <w:r w:rsidRPr="00111E2B">
              <w:rPr>
                <w:rFonts w:eastAsia="DengXian" w:cs="Times New Roman"/>
                <w:b/>
                <w:bCs/>
                <w:szCs w:val="20"/>
                <w:lang w:eastAsia="zh-CN"/>
              </w:rPr>
              <w:t>- 2dB</w:t>
            </w:r>
          </w:p>
        </w:tc>
        <w:tc>
          <w:tcPr>
            <w:tcW w:w="1387" w:type="dxa"/>
            <w:vAlign w:val="center"/>
          </w:tcPr>
          <w:p w14:paraId="7A87A9AE" w14:textId="77777777" w:rsidR="00332D17" w:rsidRPr="00111E2B" w:rsidRDefault="00332D17">
            <w:pPr>
              <w:jc w:val="center"/>
              <w:rPr>
                <w:rFonts w:cs="Times New Roman"/>
                <w:b/>
                <w:bCs/>
                <w:szCs w:val="20"/>
              </w:rPr>
            </w:pPr>
            <w:r w:rsidRPr="00111E2B">
              <w:rPr>
                <w:rFonts w:eastAsia="DengXian" w:cs="Times New Roman"/>
                <w:b/>
                <w:bCs/>
                <w:szCs w:val="20"/>
                <w:lang w:eastAsia="zh-CN"/>
              </w:rPr>
              <w:t>Relative ACIR</w:t>
            </w:r>
          </w:p>
        </w:tc>
        <w:tc>
          <w:tcPr>
            <w:tcW w:w="1321" w:type="dxa"/>
            <w:vAlign w:val="center"/>
          </w:tcPr>
          <w:p w14:paraId="41857A23" w14:textId="77777777" w:rsidR="00332D17" w:rsidRPr="00111E2B" w:rsidRDefault="00332D17">
            <w:pPr>
              <w:jc w:val="center"/>
              <w:rPr>
                <w:rFonts w:cs="Times New Roman"/>
                <w:b/>
                <w:bCs/>
                <w:szCs w:val="20"/>
              </w:rPr>
            </w:pPr>
            <w:r w:rsidRPr="00111E2B">
              <w:rPr>
                <w:rFonts w:eastAsia="DengXian" w:cs="Times New Roman"/>
                <w:b/>
                <w:bCs/>
                <w:szCs w:val="20"/>
                <w:lang w:eastAsia="zh-CN"/>
              </w:rPr>
              <w:t>+ 2dB</w:t>
            </w:r>
          </w:p>
        </w:tc>
        <w:tc>
          <w:tcPr>
            <w:tcW w:w="1321" w:type="dxa"/>
            <w:vAlign w:val="center"/>
          </w:tcPr>
          <w:p w14:paraId="38AB695B" w14:textId="77777777" w:rsidR="00332D17" w:rsidRPr="00111E2B" w:rsidRDefault="00332D17">
            <w:pPr>
              <w:jc w:val="center"/>
              <w:rPr>
                <w:rFonts w:cs="Times New Roman"/>
                <w:b/>
                <w:bCs/>
                <w:szCs w:val="20"/>
              </w:rPr>
            </w:pPr>
            <w:r w:rsidRPr="00111E2B">
              <w:rPr>
                <w:rFonts w:eastAsia="DengXian" w:cs="Times New Roman"/>
                <w:b/>
                <w:bCs/>
                <w:szCs w:val="20"/>
                <w:lang w:eastAsia="zh-CN"/>
              </w:rPr>
              <w:t>+ 4dB</w:t>
            </w:r>
          </w:p>
        </w:tc>
      </w:tr>
      <w:tr w:rsidR="00332D17" w14:paraId="7FF2E467" w14:textId="77777777" w:rsidTr="007C54B2">
        <w:trPr>
          <w:trHeight w:val="410"/>
        </w:trPr>
        <w:tc>
          <w:tcPr>
            <w:tcW w:w="1257" w:type="dxa"/>
            <w:vMerge w:val="restart"/>
            <w:vAlign w:val="center"/>
          </w:tcPr>
          <w:p w14:paraId="43A16E1E" w14:textId="13633C86" w:rsidR="00332D17" w:rsidRDefault="00332D17">
            <w:pPr>
              <w:jc w:val="center"/>
            </w:pPr>
            <w:r>
              <w:t>Urban macro – 100% grid shift</w:t>
            </w:r>
          </w:p>
        </w:tc>
        <w:tc>
          <w:tcPr>
            <w:tcW w:w="2064" w:type="dxa"/>
            <w:vAlign w:val="center"/>
          </w:tcPr>
          <w:p w14:paraId="230A3D22" w14:textId="77777777" w:rsidR="00332D17" w:rsidRDefault="00332D17">
            <w:pPr>
              <w:jc w:val="center"/>
            </w:pPr>
            <w:r>
              <w:t>5</w:t>
            </w:r>
            <w:r w:rsidRPr="007B4277">
              <w:rPr>
                <w:vertAlign w:val="superscript"/>
              </w:rPr>
              <w:t>th</w:t>
            </w:r>
            <w:r>
              <w:t xml:space="preserve"> percentile</w:t>
            </w:r>
          </w:p>
        </w:tc>
        <w:tc>
          <w:tcPr>
            <w:tcW w:w="732" w:type="dxa"/>
            <w:vAlign w:val="center"/>
          </w:tcPr>
          <w:p w14:paraId="5AD7F8B9" w14:textId="77777777" w:rsidR="00332D17" w:rsidRDefault="00332D17">
            <w:pPr>
              <w:jc w:val="center"/>
            </w:pPr>
            <w:r>
              <w:t>TBD</w:t>
            </w:r>
          </w:p>
        </w:tc>
        <w:tc>
          <w:tcPr>
            <w:tcW w:w="1321" w:type="dxa"/>
            <w:vAlign w:val="center"/>
          </w:tcPr>
          <w:p w14:paraId="2A6DB3F7" w14:textId="77777777" w:rsidR="00332D17" w:rsidRDefault="00332D17">
            <w:pPr>
              <w:jc w:val="center"/>
            </w:pPr>
            <w:r>
              <w:t>TBD</w:t>
            </w:r>
          </w:p>
        </w:tc>
        <w:tc>
          <w:tcPr>
            <w:tcW w:w="1387" w:type="dxa"/>
            <w:vAlign w:val="center"/>
          </w:tcPr>
          <w:p w14:paraId="4D9DCDA4" w14:textId="35DD6BCA" w:rsidR="00332D17" w:rsidRDefault="008E570B">
            <w:pPr>
              <w:jc w:val="center"/>
            </w:pPr>
            <w:r>
              <w:t>-</w:t>
            </w:r>
          </w:p>
        </w:tc>
        <w:tc>
          <w:tcPr>
            <w:tcW w:w="1321" w:type="dxa"/>
            <w:vAlign w:val="center"/>
          </w:tcPr>
          <w:p w14:paraId="39E6EE49" w14:textId="77777777" w:rsidR="00332D17" w:rsidRDefault="00332D17">
            <w:pPr>
              <w:jc w:val="center"/>
            </w:pPr>
            <w:r>
              <w:t>TBD</w:t>
            </w:r>
          </w:p>
        </w:tc>
        <w:tc>
          <w:tcPr>
            <w:tcW w:w="1321" w:type="dxa"/>
            <w:vAlign w:val="center"/>
          </w:tcPr>
          <w:p w14:paraId="6B503AF6" w14:textId="77777777" w:rsidR="00332D17" w:rsidRDefault="00332D17">
            <w:pPr>
              <w:jc w:val="center"/>
            </w:pPr>
            <w:r>
              <w:t>TBD</w:t>
            </w:r>
          </w:p>
        </w:tc>
      </w:tr>
      <w:tr w:rsidR="00332D17" w14:paraId="3ADAF95F" w14:textId="77777777" w:rsidTr="007C54B2">
        <w:trPr>
          <w:trHeight w:val="428"/>
        </w:trPr>
        <w:tc>
          <w:tcPr>
            <w:tcW w:w="1257" w:type="dxa"/>
            <w:vMerge/>
            <w:vAlign w:val="center"/>
          </w:tcPr>
          <w:p w14:paraId="24313922" w14:textId="77777777" w:rsidR="00332D17" w:rsidRDefault="00332D17">
            <w:pPr>
              <w:jc w:val="center"/>
            </w:pPr>
          </w:p>
        </w:tc>
        <w:tc>
          <w:tcPr>
            <w:tcW w:w="2064" w:type="dxa"/>
            <w:vAlign w:val="center"/>
          </w:tcPr>
          <w:p w14:paraId="0F698E9E" w14:textId="77777777" w:rsidR="00332D17" w:rsidRDefault="00332D17">
            <w:pPr>
              <w:jc w:val="center"/>
            </w:pPr>
            <w:r>
              <w:t>50</w:t>
            </w:r>
            <w:r w:rsidRPr="007B4277">
              <w:rPr>
                <w:vertAlign w:val="superscript"/>
              </w:rPr>
              <w:t>th</w:t>
            </w:r>
            <w:r>
              <w:t xml:space="preserve"> percentile</w:t>
            </w:r>
          </w:p>
        </w:tc>
        <w:tc>
          <w:tcPr>
            <w:tcW w:w="732" w:type="dxa"/>
            <w:vAlign w:val="center"/>
          </w:tcPr>
          <w:p w14:paraId="5F90FEE4" w14:textId="77777777" w:rsidR="00332D17" w:rsidRDefault="00332D17">
            <w:pPr>
              <w:jc w:val="center"/>
            </w:pPr>
            <w:r>
              <w:t>TBD</w:t>
            </w:r>
          </w:p>
        </w:tc>
        <w:tc>
          <w:tcPr>
            <w:tcW w:w="1321" w:type="dxa"/>
            <w:vAlign w:val="center"/>
          </w:tcPr>
          <w:p w14:paraId="588F5335" w14:textId="77777777" w:rsidR="00332D17" w:rsidRDefault="00332D17">
            <w:pPr>
              <w:jc w:val="center"/>
            </w:pPr>
            <w:r>
              <w:t>TBD</w:t>
            </w:r>
          </w:p>
        </w:tc>
        <w:tc>
          <w:tcPr>
            <w:tcW w:w="1387" w:type="dxa"/>
            <w:vAlign w:val="center"/>
          </w:tcPr>
          <w:p w14:paraId="0D78050E" w14:textId="4633D2FA" w:rsidR="00332D17" w:rsidRDefault="008E570B">
            <w:pPr>
              <w:jc w:val="center"/>
            </w:pPr>
            <w:r>
              <w:t>51.53%</w:t>
            </w:r>
          </w:p>
        </w:tc>
        <w:tc>
          <w:tcPr>
            <w:tcW w:w="1321" w:type="dxa"/>
            <w:vAlign w:val="center"/>
          </w:tcPr>
          <w:p w14:paraId="506693AC" w14:textId="77777777" w:rsidR="00332D17" w:rsidRDefault="00332D17">
            <w:pPr>
              <w:jc w:val="center"/>
            </w:pPr>
            <w:r>
              <w:t>TBD</w:t>
            </w:r>
          </w:p>
        </w:tc>
        <w:tc>
          <w:tcPr>
            <w:tcW w:w="1321" w:type="dxa"/>
            <w:vAlign w:val="center"/>
          </w:tcPr>
          <w:p w14:paraId="0A3C000F" w14:textId="77777777" w:rsidR="00332D17" w:rsidRDefault="00332D17">
            <w:pPr>
              <w:jc w:val="center"/>
            </w:pPr>
            <w:r>
              <w:t>TBD</w:t>
            </w:r>
          </w:p>
        </w:tc>
      </w:tr>
      <w:tr w:rsidR="00332D17" w14:paraId="544E9966" w14:textId="77777777" w:rsidTr="007C54B2">
        <w:trPr>
          <w:trHeight w:val="410"/>
        </w:trPr>
        <w:tc>
          <w:tcPr>
            <w:tcW w:w="1257" w:type="dxa"/>
            <w:vMerge w:val="restart"/>
            <w:vAlign w:val="center"/>
          </w:tcPr>
          <w:p w14:paraId="7D9D74A5" w14:textId="6115A28A" w:rsidR="00332D17" w:rsidRDefault="00332D17" w:rsidP="00332D17">
            <w:pPr>
              <w:jc w:val="center"/>
            </w:pPr>
            <w:r>
              <w:t>Urban macro – 10% grid shift</w:t>
            </w:r>
          </w:p>
        </w:tc>
        <w:tc>
          <w:tcPr>
            <w:tcW w:w="2064" w:type="dxa"/>
            <w:vAlign w:val="center"/>
          </w:tcPr>
          <w:p w14:paraId="1C90D48E" w14:textId="77777777" w:rsidR="00332D17" w:rsidRDefault="00332D17" w:rsidP="00332D17">
            <w:pPr>
              <w:jc w:val="center"/>
            </w:pPr>
            <w:r>
              <w:t>5</w:t>
            </w:r>
            <w:r w:rsidRPr="007B4277">
              <w:rPr>
                <w:vertAlign w:val="superscript"/>
              </w:rPr>
              <w:t>th</w:t>
            </w:r>
            <w:r>
              <w:t xml:space="preserve"> percentile</w:t>
            </w:r>
          </w:p>
        </w:tc>
        <w:tc>
          <w:tcPr>
            <w:tcW w:w="732" w:type="dxa"/>
            <w:vAlign w:val="center"/>
          </w:tcPr>
          <w:p w14:paraId="7B3713BD" w14:textId="77777777" w:rsidR="00332D17" w:rsidRDefault="00332D17" w:rsidP="00332D17">
            <w:pPr>
              <w:jc w:val="center"/>
            </w:pPr>
            <w:r>
              <w:t>TBD</w:t>
            </w:r>
          </w:p>
        </w:tc>
        <w:tc>
          <w:tcPr>
            <w:tcW w:w="1321" w:type="dxa"/>
            <w:vAlign w:val="center"/>
          </w:tcPr>
          <w:p w14:paraId="0AFD36CB" w14:textId="77777777" w:rsidR="00332D17" w:rsidRDefault="00332D17" w:rsidP="00332D17">
            <w:pPr>
              <w:jc w:val="center"/>
            </w:pPr>
            <w:r>
              <w:t>TBD</w:t>
            </w:r>
          </w:p>
        </w:tc>
        <w:tc>
          <w:tcPr>
            <w:tcW w:w="1387" w:type="dxa"/>
            <w:vAlign w:val="center"/>
          </w:tcPr>
          <w:p w14:paraId="2F2BCA69" w14:textId="6105DF59" w:rsidR="00332D17" w:rsidRDefault="008E570B" w:rsidP="00332D17">
            <w:pPr>
              <w:jc w:val="center"/>
            </w:pPr>
            <w:r>
              <w:t>-</w:t>
            </w:r>
          </w:p>
        </w:tc>
        <w:tc>
          <w:tcPr>
            <w:tcW w:w="1321" w:type="dxa"/>
            <w:vAlign w:val="center"/>
          </w:tcPr>
          <w:p w14:paraId="3E00EE9E" w14:textId="77777777" w:rsidR="00332D17" w:rsidRDefault="00332D17" w:rsidP="00332D17">
            <w:pPr>
              <w:jc w:val="center"/>
            </w:pPr>
            <w:r>
              <w:t>TBD</w:t>
            </w:r>
          </w:p>
        </w:tc>
        <w:tc>
          <w:tcPr>
            <w:tcW w:w="1321" w:type="dxa"/>
            <w:vAlign w:val="center"/>
          </w:tcPr>
          <w:p w14:paraId="44CF0062" w14:textId="77777777" w:rsidR="00332D17" w:rsidRDefault="00332D17" w:rsidP="00332D17">
            <w:pPr>
              <w:jc w:val="center"/>
            </w:pPr>
            <w:r>
              <w:t>TBD</w:t>
            </w:r>
          </w:p>
        </w:tc>
      </w:tr>
      <w:tr w:rsidR="00332D17" w14:paraId="74007F2B" w14:textId="77777777" w:rsidTr="007C54B2">
        <w:trPr>
          <w:trHeight w:val="428"/>
        </w:trPr>
        <w:tc>
          <w:tcPr>
            <w:tcW w:w="1257" w:type="dxa"/>
            <w:vMerge/>
            <w:vAlign w:val="center"/>
          </w:tcPr>
          <w:p w14:paraId="665FCA2D" w14:textId="77777777" w:rsidR="00332D17" w:rsidRDefault="00332D17">
            <w:pPr>
              <w:jc w:val="center"/>
            </w:pPr>
          </w:p>
        </w:tc>
        <w:tc>
          <w:tcPr>
            <w:tcW w:w="2064" w:type="dxa"/>
            <w:vAlign w:val="center"/>
          </w:tcPr>
          <w:p w14:paraId="03DBFE50" w14:textId="77777777" w:rsidR="00332D17" w:rsidRDefault="00332D17">
            <w:pPr>
              <w:jc w:val="center"/>
            </w:pPr>
            <w:r>
              <w:t>50</w:t>
            </w:r>
            <w:r w:rsidRPr="007B4277">
              <w:rPr>
                <w:vertAlign w:val="superscript"/>
              </w:rPr>
              <w:t>th</w:t>
            </w:r>
            <w:r>
              <w:t xml:space="preserve"> percentile</w:t>
            </w:r>
          </w:p>
        </w:tc>
        <w:tc>
          <w:tcPr>
            <w:tcW w:w="732" w:type="dxa"/>
            <w:vAlign w:val="center"/>
          </w:tcPr>
          <w:p w14:paraId="29B7EE00" w14:textId="77777777" w:rsidR="00332D17" w:rsidRDefault="00332D17">
            <w:pPr>
              <w:jc w:val="center"/>
            </w:pPr>
            <w:r>
              <w:t>TBD</w:t>
            </w:r>
          </w:p>
        </w:tc>
        <w:tc>
          <w:tcPr>
            <w:tcW w:w="1321" w:type="dxa"/>
            <w:vAlign w:val="center"/>
          </w:tcPr>
          <w:p w14:paraId="10322C8D" w14:textId="77777777" w:rsidR="00332D17" w:rsidRDefault="00332D17">
            <w:pPr>
              <w:jc w:val="center"/>
            </w:pPr>
            <w:r>
              <w:t>TBD</w:t>
            </w:r>
          </w:p>
        </w:tc>
        <w:tc>
          <w:tcPr>
            <w:tcW w:w="1387" w:type="dxa"/>
            <w:vAlign w:val="center"/>
          </w:tcPr>
          <w:p w14:paraId="6FE3D9B0" w14:textId="56E382AC" w:rsidR="00332D17" w:rsidRDefault="00A378D7">
            <w:pPr>
              <w:jc w:val="center"/>
            </w:pPr>
            <w:r>
              <w:t>82.93%</w:t>
            </w:r>
          </w:p>
        </w:tc>
        <w:tc>
          <w:tcPr>
            <w:tcW w:w="1321" w:type="dxa"/>
            <w:vAlign w:val="center"/>
          </w:tcPr>
          <w:p w14:paraId="1323252F" w14:textId="77777777" w:rsidR="00332D17" w:rsidRDefault="00332D17">
            <w:pPr>
              <w:jc w:val="center"/>
            </w:pPr>
            <w:r>
              <w:t>TBD</w:t>
            </w:r>
          </w:p>
        </w:tc>
        <w:tc>
          <w:tcPr>
            <w:tcW w:w="1321" w:type="dxa"/>
            <w:vAlign w:val="center"/>
          </w:tcPr>
          <w:p w14:paraId="46563372" w14:textId="77777777" w:rsidR="00332D17" w:rsidRDefault="00332D17">
            <w:pPr>
              <w:jc w:val="center"/>
            </w:pPr>
            <w:r>
              <w:t>TBD</w:t>
            </w:r>
          </w:p>
        </w:tc>
      </w:tr>
    </w:tbl>
    <w:p w14:paraId="2468FCE5" w14:textId="77777777" w:rsidR="00AF38AF" w:rsidRDefault="00AF38AF" w:rsidP="00E27236"/>
    <w:p w14:paraId="18B46514" w14:textId="77777777" w:rsidR="00190F00" w:rsidRDefault="00190F00" w:rsidP="00D41049"/>
    <w:p w14:paraId="5CE7A7C0" w14:textId="6D6191E8" w:rsidR="00D41049" w:rsidRPr="0089599F" w:rsidRDefault="00D41049" w:rsidP="00E27236">
      <w:pPr>
        <w:pStyle w:val="RAN4H2"/>
      </w:pPr>
      <w:r w:rsidRPr="0089599F">
        <w:t xml:space="preserve"> SBFD as victim (Case </w:t>
      </w:r>
      <w:r w:rsidR="00DD6755">
        <w:t>4</w:t>
      </w:r>
      <w:r w:rsidRPr="0089599F">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58"/>
        <w:gridCol w:w="1358"/>
        <w:gridCol w:w="3105"/>
        <w:gridCol w:w="2771"/>
        <w:gridCol w:w="868"/>
      </w:tblGrid>
      <w:tr w:rsidR="00D41049" w:rsidRPr="006E37C3" w14:paraId="05614E42" w14:textId="77777777">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B5BBF"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9B96EA"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95164"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 xml:space="preserve">Figures: </w:t>
            </w:r>
          </w:p>
          <w:p w14:paraId="60B466FB"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Aggressor(left) and Victim(right)</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F9C8E"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85A03F"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b/>
                <w:bCs/>
                <w:sz w:val="18"/>
                <w:szCs w:val="18"/>
              </w:rPr>
              <w:t>Priority</w:t>
            </w:r>
          </w:p>
        </w:tc>
      </w:tr>
      <w:tr w:rsidR="00D41049" w:rsidRPr="006E37C3" w14:paraId="1F42D9F5" w14:textId="77777777">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03E464"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sz w:val="18"/>
                <w:szCs w:val="18"/>
              </w:rPr>
              <w:t>SBFD (DU)</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D7C77"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sz w:val="18"/>
                <w:szCs w:val="18"/>
              </w:rPr>
              <w:t>NR TDD DL</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C942F" w14:textId="77777777" w:rsidR="00D41049" w:rsidRPr="006E37C3" w:rsidRDefault="00D41049">
            <w:pPr>
              <w:spacing w:after="0"/>
              <w:jc w:val="center"/>
              <w:rPr>
                <w:rFonts w:ascii="Calibri" w:eastAsia="Times New Roman" w:hAnsi="Calibri" w:cs="Calibri"/>
                <w:sz w:val="22"/>
              </w:rPr>
            </w:pPr>
            <w:r w:rsidRPr="006E37C3">
              <w:rPr>
                <w:rFonts w:ascii="Calibri" w:eastAsia="Times New Roman" w:hAnsi="Calibri" w:cs="Calibri"/>
                <w:sz w:val="22"/>
              </w:rPr>
              <w:t> </w:t>
            </w:r>
          </w:p>
          <w:p w14:paraId="044DA1D6" w14:textId="77777777" w:rsidR="00D41049" w:rsidRPr="006E37C3" w:rsidRDefault="00D41049">
            <w:pPr>
              <w:spacing w:after="0"/>
              <w:rPr>
                <w:rFonts w:eastAsia="Times New Roman" w:cs="Times New Roman"/>
                <w:sz w:val="24"/>
                <w:szCs w:val="24"/>
              </w:rPr>
            </w:pPr>
            <w:r w:rsidRPr="006E37C3">
              <w:rPr>
                <w:noProof/>
              </w:rPr>
              <w:drawing>
                <wp:inline distT="0" distB="0" distL="0" distR="0" wp14:anchorId="5F0F1734" wp14:editId="60F9FC0E">
                  <wp:extent cx="17970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0" cy="182880"/>
                          </a:xfrm>
                          <a:prstGeom prst="rect">
                            <a:avLst/>
                          </a:prstGeom>
                          <a:noFill/>
                          <a:ln>
                            <a:noFill/>
                          </a:ln>
                        </pic:spPr>
                      </pic:pic>
                    </a:graphicData>
                  </a:graphic>
                </wp:inline>
              </w:drawing>
            </w:r>
          </w:p>
          <w:p w14:paraId="314646F1" w14:textId="77777777" w:rsidR="00D41049" w:rsidRPr="006E37C3" w:rsidRDefault="00D41049">
            <w:pPr>
              <w:spacing w:after="0"/>
              <w:jc w:val="center"/>
              <w:rPr>
                <w:rFonts w:ascii="Calibri" w:eastAsia="Times New Roman" w:hAnsi="Calibri" w:cs="Calibri"/>
                <w:sz w:val="22"/>
              </w:rPr>
            </w:pPr>
            <w:r w:rsidRPr="006E37C3">
              <w:rPr>
                <w:rFonts w:ascii="Calibri" w:eastAsia="Times New Roman" w:hAnsi="Calibri" w:cs="Calibri"/>
                <w:sz w:val="22"/>
              </w:rPr>
              <w:t> </w:t>
            </w:r>
          </w:p>
          <w:p w14:paraId="701C47DE" w14:textId="435224C1"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sz w:val="18"/>
                <w:szCs w:val="18"/>
              </w:rPr>
              <w:t xml:space="preserve">Case </w:t>
            </w:r>
            <w:r w:rsidR="00DD6755">
              <w:rPr>
                <w:rFonts w:ascii="Arial" w:eastAsia="Times New Roman" w:hAnsi="Arial" w:cs="Arial"/>
                <w:sz w:val="18"/>
                <w:szCs w:val="18"/>
              </w:rPr>
              <w:t>4</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DF1F5" w14:textId="77777777" w:rsidR="00D41049" w:rsidRPr="006E37C3" w:rsidRDefault="00D41049">
            <w:pPr>
              <w:pStyle w:val="NormalWeb"/>
              <w:spacing w:before="0" w:beforeAutospacing="0" w:after="0" w:afterAutospacing="0"/>
              <w:jc w:val="center"/>
              <w:rPr>
                <w:rFonts w:ascii="Arial" w:eastAsia="Times New Roman" w:hAnsi="Arial" w:cs="Arial"/>
                <w:sz w:val="18"/>
                <w:szCs w:val="18"/>
              </w:rPr>
            </w:pPr>
            <w:r w:rsidRPr="006E37C3">
              <w:rPr>
                <w:rFonts w:ascii="Calibri" w:eastAsia="Times New Roman" w:hAnsi="Calibri" w:cs="Calibri"/>
                <w:sz w:val="22"/>
                <w:szCs w:val="22"/>
              </w:rPr>
              <w:t> </w:t>
            </w:r>
            <w:r w:rsidRPr="006E37C3">
              <w:rPr>
                <w:rFonts w:ascii="Arial" w:eastAsia="Times New Roman" w:hAnsi="Arial" w:cs="Arial"/>
                <w:sz w:val="18"/>
                <w:szCs w:val="18"/>
              </w:rPr>
              <w:t>No system in adjacent channel</w:t>
            </w:r>
          </w:p>
          <w:p w14:paraId="34380378" w14:textId="77777777" w:rsidR="00D41049" w:rsidRPr="006E37C3" w:rsidRDefault="00D41049">
            <w:pPr>
              <w:spacing w:after="0"/>
              <w:rPr>
                <w:rFonts w:ascii="Calibri" w:eastAsia="Times New Roman" w:hAnsi="Calibri" w:cs="Calibri"/>
                <w:sz w:val="22"/>
              </w:rPr>
            </w:pP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9E6A9" w14:textId="77777777" w:rsidR="00D41049" w:rsidRPr="006E37C3" w:rsidRDefault="00D41049">
            <w:pPr>
              <w:spacing w:after="0"/>
              <w:jc w:val="center"/>
              <w:rPr>
                <w:rFonts w:ascii="Arial" w:eastAsia="Times New Roman" w:hAnsi="Arial" w:cs="Arial"/>
                <w:sz w:val="18"/>
                <w:szCs w:val="18"/>
              </w:rPr>
            </w:pPr>
            <w:r w:rsidRPr="006E37C3">
              <w:rPr>
                <w:rFonts w:ascii="Arial" w:eastAsia="Times New Roman" w:hAnsi="Arial" w:cs="Arial"/>
                <w:sz w:val="18"/>
                <w:szCs w:val="18"/>
              </w:rPr>
              <w:t>High</w:t>
            </w:r>
          </w:p>
        </w:tc>
      </w:tr>
    </w:tbl>
    <w:p w14:paraId="62B04971" w14:textId="77777777" w:rsidR="00D41049" w:rsidRDefault="00D41049" w:rsidP="00D41049"/>
    <w:p w14:paraId="53784901" w14:textId="57A71DCE" w:rsidR="009D53FC" w:rsidRDefault="00D41049" w:rsidP="00D41049">
      <w:r>
        <w:t>This</w:t>
      </w:r>
      <w:r w:rsidDel="00BA2133">
        <w:t xml:space="preserve"> </w:t>
      </w:r>
      <w:r w:rsidR="00BA2133">
        <w:t>coexistence</w:t>
      </w:r>
      <w:r>
        <w:t xml:space="preserve"> case corresponds to a scenario where a victim operator adopts SBFD while there is no aggressor operator, as baseline, or the aggressor operator adopts NR TDD DL. This case aims to measure how much is SBFD impacted by the presence of a TDD adjacent operator</w:t>
      </w:r>
      <w:r w:rsidR="009D53FC">
        <w:t>. As agreed in the last meeting, SBFD adopts the piece-wise noise figure model</w:t>
      </w:r>
      <w:r w:rsidR="007E2D3A">
        <w:t xml:space="preserve"> at the base station.</w:t>
      </w:r>
    </w:p>
    <w:p w14:paraId="2163E563" w14:textId="790F3D60" w:rsidR="00093335" w:rsidRDefault="00851A40" w:rsidP="007C54B2">
      <w:pPr>
        <w:keepNext/>
        <w:rPr>
          <w:noProof/>
        </w:rPr>
      </w:pPr>
      <w:r>
        <w:fldChar w:fldCharType="begin"/>
      </w:r>
      <w:r>
        <w:instrText xml:space="preserve"> REF _Ref135074349 \h </w:instrText>
      </w:r>
      <w:r>
        <w:fldChar w:fldCharType="separate"/>
      </w:r>
      <w:r>
        <w:t xml:space="preserve">Figure </w:t>
      </w:r>
      <w:r>
        <w:rPr>
          <w:noProof/>
        </w:rPr>
        <w:t>7</w:t>
      </w:r>
      <w:r>
        <w:fldChar w:fldCharType="end"/>
      </w:r>
      <w:r w:rsidR="00D41049">
        <w:t>(left) shows the DL SINR at the SBFD UEs. It is noted that there is no difference between having or not NR TDD DL transmissions on the adjacent channel. On the other hand, Figure 4 (right) shows the UL SINR at the SBFD gNBs. In this case, the presence of DL transmissions on the adjacent channel show a harmful effect on the UL SINR at any percentile. This is expected to have an impact on the SBFD performance.</w:t>
      </w:r>
      <w:r w:rsidR="00B11229" w:rsidRPr="00B11229">
        <w:rPr>
          <w:noProof/>
        </w:rPr>
        <w:t xml:space="preserve"> </w:t>
      </w:r>
    </w:p>
    <w:p w14:paraId="6681252F" w14:textId="490008F1" w:rsidR="0032217E" w:rsidRDefault="00B11229" w:rsidP="0032217E">
      <w:pPr>
        <w:keepNext/>
        <w:jc w:val="center"/>
      </w:pPr>
      <w:r>
        <w:rPr>
          <w:noProof/>
        </w:rPr>
        <w:drawing>
          <wp:inline distT="0" distB="0" distL="0" distR="0" wp14:anchorId="37EE542F" wp14:editId="1A875173">
            <wp:extent cx="6113145" cy="2696845"/>
            <wp:effectExtent l="0" t="0" r="190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3145" cy="2696845"/>
                    </a:xfrm>
                    <a:prstGeom prst="rect">
                      <a:avLst/>
                    </a:prstGeom>
                  </pic:spPr>
                </pic:pic>
              </a:graphicData>
            </a:graphic>
          </wp:inline>
        </w:drawing>
      </w:r>
    </w:p>
    <w:p w14:paraId="423D3BF8" w14:textId="6188AC9D" w:rsidR="00D41049" w:rsidRDefault="0032217E" w:rsidP="007C54B2">
      <w:pPr>
        <w:pStyle w:val="Caption"/>
      </w:pPr>
      <w:bookmarkStart w:id="22" w:name="_Ref135074349"/>
      <w:r>
        <w:t xml:space="preserve">Figure </w:t>
      </w:r>
      <w:r>
        <w:fldChar w:fldCharType="begin"/>
      </w:r>
      <w:r>
        <w:instrText xml:space="preserve"> SEQ Figure \* ARABIC </w:instrText>
      </w:r>
      <w:r>
        <w:fldChar w:fldCharType="separate"/>
      </w:r>
      <w:r>
        <w:rPr>
          <w:noProof/>
        </w:rPr>
        <w:t>7</w:t>
      </w:r>
      <w:r>
        <w:fldChar w:fldCharType="end"/>
      </w:r>
      <w:bookmarkEnd w:id="22"/>
      <w:r>
        <w:t>. DL SINR at the victim SBFD (left) and UL SINR at the victim SBFD (right)</w:t>
      </w:r>
    </w:p>
    <w:p w14:paraId="1C7652BC" w14:textId="77777777" w:rsidR="0032217E" w:rsidRDefault="0032217E" w:rsidP="007C54B2">
      <w:pPr>
        <w:pStyle w:val="Caption"/>
        <w:keepNext/>
      </w:pPr>
      <w:r>
        <w:rPr>
          <w:noProof/>
        </w:rPr>
        <w:drawing>
          <wp:inline distT="0" distB="0" distL="0" distR="0" wp14:anchorId="355A0684" wp14:editId="362BFE9D">
            <wp:extent cx="6113145" cy="2505710"/>
            <wp:effectExtent l="0" t="0" r="190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13145" cy="2505710"/>
                    </a:xfrm>
                    <a:prstGeom prst="rect">
                      <a:avLst/>
                    </a:prstGeom>
                  </pic:spPr>
                </pic:pic>
              </a:graphicData>
            </a:graphic>
          </wp:inline>
        </w:drawing>
      </w:r>
    </w:p>
    <w:p w14:paraId="26E2B04E" w14:textId="2335B8A4" w:rsidR="00D41049" w:rsidRDefault="0032217E" w:rsidP="00D41049">
      <w:pPr>
        <w:pStyle w:val="Caption"/>
      </w:pPr>
      <w:r>
        <w:t xml:space="preserve">Figure </w:t>
      </w:r>
      <w:r>
        <w:fldChar w:fldCharType="begin"/>
      </w:r>
      <w:r>
        <w:instrText xml:space="preserve"> SEQ Figure \* ARABIC </w:instrText>
      </w:r>
      <w:r>
        <w:fldChar w:fldCharType="separate"/>
      </w:r>
      <w:r w:rsidR="00A03F6C">
        <w:rPr>
          <w:noProof/>
        </w:rPr>
        <w:t>8</w:t>
      </w:r>
      <w:r>
        <w:fldChar w:fldCharType="end"/>
      </w:r>
      <w:r>
        <w:t xml:space="preserve">. Summary of the </w:t>
      </w:r>
      <w:r w:rsidR="00A03F6C">
        <w:t>D</w:t>
      </w:r>
      <w:r>
        <w:t>L throughput for Case 4</w:t>
      </w:r>
    </w:p>
    <w:p w14:paraId="475178E4" w14:textId="77777777" w:rsidR="00A03F6C" w:rsidRDefault="00A03F6C" w:rsidP="007C54B2">
      <w:pPr>
        <w:keepNext/>
      </w:pPr>
      <w:r>
        <w:rPr>
          <w:noProof/>
        </w:rPr>
        <w:drawing>
          <wp:inline distT="0" distB="0" distL="0" distR="0" wp14:anchorId="59DC1D7F" wp14:editId="29FDA4AE">
            <wp:extent cx="6113145" cy="246634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13145" cy="2466340"/>
                    </a:xfrm>
                    <a:prstGeom prst="rect">
                      <a:avLst/>
                    </a:prstGeom>
                  </pic:spPr>
                </pic:pic>
              </a:graphicData>
            </a:graphic>
          </wp:inline>
        </w:drawing>
      </w:r>
    </w:p>
    <w:p w14:paraId="765C3A37" w14:textId="142D6DD8" w:rsidR="00B32F07" w:rsidRPr="00B32F07" w:rsidRDefault="00A03F6C" w:rsidP="00A03F6C">
      <w:pPr>
        <w:pStyle w:val="Caption"/>
      </w:pPr>
      <w:r>
        <w:t xml:space="preserve">Figure </w:t>
      </w:r>
      <w:r>
        <w:fldChar w:fldCharType="begin"/>
      </w:r>
      <w:r>
        <w:instrText xml:space="preserve"> SEQ Figure \* ARABIC </w:instrText>
      </w:r>
      <w:r>
        <w:fldChar w:fldCharType="separate"/>
      </w:r>
      <w:r>
        <w:rPr>
          <w:noProof/>
        </w:rPr>
        <w:t>9</w:t>
      </w:r>
      <w:r>
        <w:fldChar w:fldCharType="end"/>
      </w:r>
      <w:r>
        <w:t>. Summary of the UL throughput for Case 4</w:t>
      </w:r>
    </w:p>
    <w:p w14:paraId="754E9CC5" w14:textId="77777777" w:rsidR="009B0808" w:rsidRPr="009B0808" w:rsidRDefault="009B0808" w:rsidP="007C54B2"/>
    <w:tbl>
      <w:tblPr>
        <w:tblStyle w:val="TableGrid"/>
        <w:tblW w:w="0" w:type="auto"/>
        <w:tblLook w:val="04A0" w:firstRow="1" w:lastRow="0" w:firstColumn="1" w:lastColumn="0" w:noHBand="0" w:noVBand="1"/>
      </w:tblPr>
      <w:tblGrid>
        <w:gridCol w:w="1257"/>
        <w:gridCol w:w="2064"/>
        <w:gridCol w:w="732"/>
        <w:gridCol w:w="1321"/>
        <w:gridCol w:w="1387"/>
        <w:gridCol w:w="1321"/>
        <w:gridCol w:w="1321"/>
      </w:tblGrid>
      <w:tr w:rsidR="00B83AB3" w14:paraId="6CBEF4A6" w14:textId="77777777" w:rsidTr="00B83AB3">
        <w:trPr>
          <w:trHeight w:val="820"/>
        </w:trPr>
        <w:tc>
          <w:tcPr>
            <w:tcW w:w="1257" w:type="dxa"/>
            <w:vAlign w:val="center"/>
          </w:tcPr>
          <w:p w14:paraId="3723BAAD" w14:textId="77777777" w:rsidR="00B83AB3" w:rsidRPr="00111E2B" w:rsidRDefault="00B83AB3" w:rsidP="00B83AB3">
            <w:pPr>
              <w:jc w:val="center"/>
              <w:rPr>
                <w:rFonts w:cs="Times New Roman"/>
                <w:b/>
                <w:bCs/>
                <w:szCs w:val="20"/>
              </w:rPr>
            </w:pPr>
            <w:r w:rsidRPr="00111E2B">
              <w:rPr>
                <w:rFonts w:cs="Times New Roman"/>
                <w:b/>
                <w:bCs/>
                <w:szCs w:val="20"/>
              </w:rPr>
              <w:t>Scenario</w:t>
            </w:r>
          </w:p>
        </w:tc>
        <w:tc>
          <w:tcPr>
            <w:tcW w:w="2064" w:type="dxa"/>
            <w:vAlign w:val="center"/>
          </w:tcPr>
          <w:p w14:paraId="70BD4ABF" w14:textId="77777777" w:rsidR="00B83AB3" w:rsidRPr="00111E2B" w:rsidRDefault="00B83AB3" w:rsidP="00B83AB3">
            <w:pPr>
              <w:jc w:val="center"/>
              <w:rPr>
                <w:rFonts w:cs="Times New Roman"/>
                <w:b/>
                <w:bCs/>
                <w:szCs w:val="20"/>
              </w:rPr>
            </w:pPr>
            <w:r w:rsidRPr="00111E2B">
              <w:rPr>
                <w:rFonts w:cs="Times New Roman"/>
                <w:b/>
                <w:bCs/>
                <w:szCs w:val="20"/>
              </w:rPr>
              <w:t>Observation point</w:t>
            </w:r>
          </w:p>
        </w:tc>
        <w:tc>
          <w:tcPr>
            <w:tcW w:w="732" w:type="dxa"/>
            <w:vAlign w:val="center"/>
          </w:tcPr>
          <w:p w14:paraId="28E981AA" w14:textId="77777777" w:rsidR="00B83AB3" w:rsidRPr="00111E2B" w:rsidRDefault="00B83AB3" w:rsidP="00B83AB3">
            <w:pPr>
              <w:jc w:val="center"/>
              <w:rPr>
                <w:rFonts w:cs="Times New Roman"/>
                <w:b/>
                <w:bCs/>
                <w:szCs w:val="20"/>
              </w:rPr>
            </w:pPr>
            <w:r w:rsidRPr="00111E2B">
              <w:rPr>
                <w:rFonts w:eastAsia="DengXian" w:cs="Times New Roman"/>
                <w:b/>
                <w:bCs/>
                <w:szCs w:val="20"/>
                <w:lang w:eastAsia="zh-CN"/>
              </w:rPr>
              <w:t>- 4dB</w:t>
            </w:r>
          </w:p>
        </w:tc>
        <w:tc>
          <w:tcPr>
            <w:tcW w:w="1321" w:type="dxa"/>
            <w:vAlign w:val="center"/>
          </w:tcPr>
          <w:p w14:paraId="21202F66" w14:textId="77777777" w:rsidR="00B83AB3" w:rsidRPr="00111E2B" w:rsidRDefault="00B83AB3" w:rsidP="00B83AB3">
            <w:pPr>
              <w:jc w:val="center"/>
              <w:rPr>
                <w:rFonts w:cs="Times New Roman"/>
                <w:b/>
                <w:bCs/>
                <w:szCs w:val="20"/>
              </w:rPr>
            </w:pPr>
            <w:r w:rsidRPr="00111E2B">
              <w:rPr>
                <w:rFonts w:eastAsia="DengXian" w:cs="Times New Roman"/>
                <w:b/>
                <w:bCs/>
                <w:szCs w:val="20"/>
                <w:lang w:eastAsia="zh-CN"/>
              </w:rPr>
              <w:t>- 2dB</w:t>
            </w:r>
          </w:p>
        </w:tc>
        <w:tc>
          <w:tcPr>
            <w:tcW w:w="1387" w:type="dxa"/>
            <w:vAlign w:val="center"/>
          </w:tcPr>
          <w:p w14:paraId="6AC73152" w14:textId="77777777" w:rsidR="00B83AB3" w:rsidRPr="00111E2B" w:rsidRDefault="00B83AB3" w:rsidP="00B83AB3">
            <w:pPr>
              <w:jc w:val="center"/>
              <w:rPr>
                <w:rFonts w:cs="Times New Roman"/>
                <w:b/>
                <w:bCs/>
                <w:szCs w:val="20"/>
              </w:rPr>
            </w:pPr>
            <w:r w:rsidRPr="00111E2B">
              <w:rPr>
                <w:rFonts w:eastAsia="DengXian" w:cs="Times New Roman"/>
                <w:b/>
                <w:bCs/>
                <w:szCs w:val="20"/>
                <w:lang w:eastAsia="zh-CN"/>
              </w:rPr>
              <w:t>Relative ACIR</w:t>
            </w:r>
          </w:p>
        </w:tc>
        <w:tc>
          <w:tcPr>
            <w:tcW w:w="1321" w:type="dxa"/>
            <w:vAlign w:val="center"/>
          </w:tcPr>
          <w:p w14:paraId="76BC0BC0" w14:textId="77777777" w:rsidR="00B83AB3" w:rsidRPr="00111E2B" w:rsidRDefault="00B83AB3" w:rsidP="00B83AB3">
            <w:pPr>
              <w:jc w:val="center"/>
              <w:rPr>
                <w:rFonts w:cs="Times New Roman"/>
                <w:b/>
                <w:bCs/>
                <w:szCs w:val="20"/>
              </w:rPr>
            </w:pPr>
            <w:r w:rsidRPr="00111E2B">
              <w:rPr>
                <w:rFonts w:eastAsia="DengXian" w:cs="Times New Roman"/>
                <w:b/>
                <w:bCs/>
                <w:szCs w:val="20"/>
                <w:lang w:eastAsia="zh-CN"/>
              </w:rPr>
              <w:t>+ 2dB</w:t>
            </w:r>
          </w:p>
        </w:tc>
        <w:tc>
          <w:tcPr>
            <w:tcW w:w="1321" w:type="dxa"/>
            <w:vAlign w:val="center"/>
          </w:tcPr>
          <w:p w14:paraId="271BB36C" w14:textId="77777777" w:rsidR="00B83AB3" w:rsidRPr="00111E2B" w:rsidRDefault="00B83AB3" w:rsidP="00B83AB3">
            <w:pPr>
              <w:jc w:val="center"/>
              <w:rPr>
                <w:rFonts w:cs="Times New Roman"/>
                <w:b/>
                <w:bCs/>
                <w:szCs w:val="20"/>
              </w:rPr>
            </w:pPr>
            <w:r w:rsidRPr="00111E2B">
              <w:rPr>
                <w:rFonts w:eastAsia="DengXian" w:cs="Times New Roman"/>
                <w:b/>
                <w:bCs/>
                <w:szCs w:val="20"/>
                <w:lang w:eastAsia="zh-CN"/>
              </w:rPr>
              <w:t>+ 4dB</w:t>
            </w:r>
          </w:p>
        </w:tc>
      </w:tr>
      <w:tr w:rsidR="00B83AB3" w14:paraId="659578A4" w14:textId="77777777" w:rsidTr="00B83AB3">
        <w:trPr>
          <w:trHeight w:val="410"/>
        </w:trPr>
        <w:tc>
          <w:tcPr>
            <w:tcW w:w="1257" w:type="dxa"/>
            <w:vMerge w:val="restart"/>
            <w:vAlign w:val="center"/>
          </w:tcPr>
          <w:p w14:paraId="74BC69E8" w14:textId="13FE4AC5" w:rsidR="00B83AB3" w:rsidRDefault="00B83AB3" w:rsidP="00B83AB3">
            <w:pPr>
              <w:jc w:val="center"/>
            </w:pPr>
            <w:r>
              <w:t xml:space="preserve">Urban macro </w:t>
            </w:r>
            <w:r w:rsidR="00F876CA">
              <w:t>- DL</w:t>
            </w:r>
          </w:p>
        </w:tc>
        <w:tc>
          <w:tcPr>
            <w:tcW w:w="2064" w:type="dxa"/>
            <w:vAlign w:val="center"/>
          </w:tcPr>
          <w:p w14:paraId="7B37CECE" w14:textId="77777777" w:rsidR="00B83AB3" w:rsidRDefault="00B83AB3" w:rsidP="00B83AB3">
            <w:pPr>
              <w:jc w:val="center"/>
            </w:pPr>
            <w:r>
              <w:t>5</w:t>
            </w:r>
            <w:r w:rsidRPr="007B4277">
              <w:rPr>
                <w:vertAlign w:val="superscript"/>
              </w:rPr>
              <w:t>th</w:t>
            </w:r>
            <w:r>
              <w:t xml:space="preserve"> percentile</w:t>
            </w:r>
          </w:p>
        </w:tc>
        <w:tc>
          <w:tcPr>
            <w:tcW w:w="732" w:type="dxa"/>
            <w:vAlign w:val="center"/>
          </w:tcPr>
          <w:p w14:paraId="2705B9D6" w14:textId="77777777" w:rsidR="00B83AB3" w:rsidRDefault="00B83AB3" w:rsidP="00B83AB3">
            <w:pPr>
              <w:jc w:val="center"/>
            </w:pPr>
            <w:r>
              <w:t>TBD</w:t>
            </w:r>
          </w:p>
        </w:tc>
        <w:tc>
          <w:tcPr>
            <w:tcW w:w="1321" w:type="dxa"/>
            <w:vAlign w:val="center"/>
          </w:tcPr>
          <w:p w14:paraId="21B70A1B" w14:textId="77777777" w:rsidR="00B83AB3" w:rsidRDefault="00B83AB3" w:rsidP="00B83AB3">
            <w:pPr>
              <w:jc w:val="center"/>
            </w:pPr>
            <w:r>
              <w:t>TBD</w:t>
            </w:r>
          </w:p>
        </w:tc>
        <w:tc>
          <w:tcPr>
            <w:tcW w:w="1387" w:type="dxa"/>
            <w:vAlign w:val="center"/>
          </w:tcPr>
          <w:p w14:paraId="060B6C9A" w14:textId="7A08F86A" w:rsidR="00B83AB3" w:rsidRDefault="00DE332A" w:rsidP="00B83AB3">
            <w:pPr>
              <w:jc w:val="center"/>
            </w:pPr>
            <w:r>
              <w:t>-</w:t>
            </w:r>
            <w:r w:rsidR="00133D35">
              <w:t>10.33</w:t>
            </w:r>
            <w:r>
              <w:t>%</w:t>
            </w:r>
          </w:p>
        </w:tc>
        <w:tc>
          <w:tcPr>
            <w:tcW w:w="1321" w:type="dxa"/>
            <w:vAlign w:val="center"/>
          </w:tcPr>
          <w:p w14:paraId="7F520BA9" w14:textId="77777777" w:rsidR="00B83AB3" w:rsidRDefault="00B83AB3" w:rsidP="00B83AB3">
            <w:pPr>
              <w:jc w:val="center"/>
            </w:pPr>
            <w:r>
              <w:t>TBD</w:t>
            </w:r>
          </w:p>
        </w:tc>
        <w:tc>
          <w:tcPr>
            <w:tcW w:w="1321" w:type="dxa"/>
            <w:vAlign w:val="center"/>
          </w:tcPr>
          <w:p w14:paraId="099649AF" w14:textId="77777777" w:rsidR="00B83AB3" w:rsidRDefault="00B83AB3" w:rsidP="00B83AB3">
            <w:pPr>
              <w:jc w:val="center"/>
            </w:pPr>
            <w:r>
              <w:t>TBD</w:t>
            </w:r>
          </w:p>
        </w:tc>
      </w:tr>
      <w:tr w:rsidR="00B83AB3" w14:paraId="5F4348BD" w14:textId="77777777" w:rsidTr="00B83AB3">
        <w:trPr>
          <w:trHeight w:val="428"/>
        </w:trPr>
        <w:tc>
          <w:tcPr>
            <w:tcW w:w="1257" w:type="dxa"/>
            <w:vMerge/>
            <w:vAlign w:val="center"/>
          </w:tcPr>
          <w:p w14:paraId="32422304" w14:textId="77777777" w:rsidR="00B83AB3" w:rsidRDefault="00B83AB3" w:rsidP="00B83AB3">
            <w:pPr>
              <w:jc w:val="center"/>
            </w:pPr>
          </w:p>
        </w:tc>
        <w:tc>
          <w:tcPr>
            <w:tcW w:w="2064" w:type="dxa"/>
            <w:vAlign w:val="center"/>
          </w:tcPr>
          <w:p w14:paraId="2E461876" w14:textId="77777777" w:rsidR="00B83AB3" w:rsidRDefault="00B83AB3" w:rsidP="00B83AB3">
            <w:pPr>
              <w:jc w:val="center"/>
            </w:pPr>
            <w:r>
              <w:t>50</w:t>
            </w:r>
            <w:r w:rsidRPr="007B4277">
              <w:rPr>
                <w:vertAlign w:val="superscript"/>
              </w:rPr>
              <w:t>th</w:t>
            </w:r>
            <w:r>
              <w:t xml:space="preserve"> percentile</w:t>
            </w:r>
          </w:p>
        </w:tc>
        <w:tc>
          <w:tcPr>
            <w:tcW w:w="732" w:type="dxa"/>
            <w:vAlign w:val="center"/>
          </w:tcPr>
          <w:p w14:paraId="52252FB2" w14:textId="77777777" w:rsidR="00B83AB3" w:rsidRDefault="00B83AB3" w:rsidP="00B83AB3">
            <w:pPr>
              <w:jc w:val="center"/>
            </w:pPr>
            <w:r>
              <w:t>TBD</w:t>
            </w:r>
          </w:p>
        </w:tc>
        <w:tc>
          <w:tcPr>
            <w:tcW w:w="1321" w:type="dxa"/>
            <w:vAlign w:val="center"/>
          </w:tcPr>
          <w:p w14:paraId="77A3AEC8" w14:textId="77777777" w:rsidR="00B83AB3" w:rsidRDefault="00B83AB3" w:rsidP="00B83AB3">
            <w:pPr>
              <w:jc w:val="center"/>
            </w:pPr>
            <w:r>
              <w:t>TBD</w:t>
            </w:r>
          </w:p>
        </w:tc>
        <w:tc>
          <w:tcPr>
            <w:tcW w:w="1387" w:type="dxa"/>
            <w:vAlign w:val="center"/>
          </w:tcPr>
          <w:p w14:paraId="5D7516CE" w14:textId="7860B447" w:rsidR="00B83AB3" w:rsidRDefault="00DE332A" w:rsidP="00B83AB3">
            <w:pPr>
              <w:jc w:val="center"/>
            </w:pPr>
            <w:r>
              <w:t>-2.91%</w:t>
            </w:r>
          </w:p>
        </w:tc>
        <w:tc>
          <w:tcPr>
            <w:tcW w:w="1321" w:type="dxa"/>
            <w:vAlign w:val="center"/>
          </w:tcPr>
          <w:p w14:paraId="6FF8C941" w14:textId="77777777" w:rsidR="00B83AB3" w:rsidRDefault="00B83AB3" w:rsidP="00B83AB3">
            <w:pPr>
              <w:jc w:val="center"/>
            </w:pPr>
            <w:r>
              <w:t>TBD</w:t>
            </w:r>
          </w:p>
        </w:tc>
        <w:tc>
          <w:tcPr>
            <w:tcW w:w="1321" w:type="dxa"/>
            <w:vAlign w:val="center"/>
          </w:tcPr>
          <w:p w14:paraId="364DBC73" w14:textId="77777777" w:rsidR="00B83AB3" w:rsidRDefault="00B83AB3" w:rsidP="00B83AB3">
            <w:pPr>
              <w:jc w:val="center"/>
            </w:pPr>
            <w:r>
              <w:t>TBD</w:t>
            </w:r>
          </w:p>
        </w:tc>
      </w:tr>
      <w:tr w:rsidR="00B83AB3" w14:paraId="2E88C41E" w14:textId="77777777" w:rsidTr="00B83AB3">
        <w:trPr>
          <w:trHeight w:val="410"/>
        </w:trPr>
        <w:tc>
          <w:tcPr>
            <w:tcW w:w="1257" w:type="dxa"/>
            <w:vMerge w:val="restart"/>
            <w:vAlign w:val="center"/>
          </w:tcPr>
          <w:p w14:paraId="334A6702" w14:textId="1EE306EC" w:rsidR="00B83AB3" w:rsidRDefault="00B83AB3" w:rsidP="00B83AB3">
            <w:pPr>
              <w:jc w:val="center"/>
            </w:pPr>
            <w:r>
              <w:t xml:space="preserve">Urban macro </w:t>
            </w:r>
            <w:r w:rsidR="00F876CA">
              <w:t>- UL</w:t>
            </w:r>
          </w:p>
        </w:tc>
        <w:tc>
          <w:tcPr>
            <w:tcW w:w="2064" w:type="dxa"/>
            <w:vAlign w:val="center"/>
          </w:tcPr>
          <w:p w14:paraId="485E843A" w14:textId="77777777" w:rsidR="00B83AB3" w:rsidRDefault="00B83AB3" w:rsidP="00B83AB3">
            <w:pPr>
              <w:jc w:val="center"/>
            </w:pPr>
            <w:r>
              <w:t>5</w:t>
            </w:r>
            <w:r w:rsidRPr="007B4277">
              <w:rPr>
                <w:vertAlign w:val="superscript"/>
              </w:rPr>
              <w:t>th</w:t>
            </w:r>
            <w:r>
              <w:t xml:space="preserve"> percentile</w:t>
            </w:r>
          </w:p>
        </w:tc>
        <w:tc>
          <w:tcPr>
            <w:tcW w:w="732" w:type="dxa"/>
            <w:vAlign w:val="center"/>
          </w:tcPr>
          <w:p w14:paraId="6D03905D" w14:textId="77777777" w:rsidR="00B83AB3" w:rsidRDefault="00B83AB3" w:rsidP="00B83AB3">
            <w:pPr>
              <w:jc w:val="center"/>
            </w:pPr>
            <w:r>
              <w:t>TBD</w:t>
            </w:r>
          </w:p>
        </w:tc>
        <w:tc>
          <w:tcPr>
            <w:tcW w:w="1321" w:type="dxa"/>
            <w:vAlign w:val="center"/>
          </w:tcPr>
          <w:p w14:paraId="3CC6442F" w14:textId="77777777" w:rsidR="00B83AB3" w:rsidRDefault="00B83AB3" w:rsidP="00B83AB3">
            <w:pPr>
              <w:jc w:val="center"/>
            </w:pPr>
            <w:r>
              <w:t>TBD</w:t>
            </w:r>
          </w:p>
        </w:tc>
        <w:tc>
          <w:tcPr>
            <w:tcW w:w="1387" w:type="dxa"/>
            <w:vAlign w:val="center"/>
          </w:tcPr>
          <w:p w14:paraId="1D32976B" w14:textId="32A3640A" w:rsidR="00B83AB3" w:rsidRDefault="00A14332" w:rsidP="00B83AB3">
            <w:pPr>
              <w:jc w:val="center"/>
            </w:pPr>
            <w:r>
              <w:t>-</w:t>
            </w:r>
          </w:p>
        </w:tc>
        <w:tc>
          <w:tcPr>
            <w:tcW w:w="1321" w:type="dxa"/>
            <w:vAlign w:val="center"/>
          </w:tcPr>
          <w:p w14:paraId="38E79D44" w14:textId="77777777" w:rsidR="00B83AB3" w:rsidRDefault="00B83AB3" w:rsidP="00B83AB3">
            <w:pPr>
              <w:jc w:val="center"/>
            </w:pPr>
            <w:r>
              <w:t>TBD</w:t>
            </w:r>
          </w:p>
        </w:tc>
        <w:tc>
          <w:tcPr>
            <w:tcW w:w="1321" w:type="dxa"/>
            <w:vAlign w:val="center"/>
          </w:tcPr>
          <w:p w14:paraId="288918CA" w14:textId="77777777" w:rsidR="00B83AB3" w:rsidRDefault="00B83AB3" w:rsidP="00B83AB3">
            <w:pPr>
              <w:jc w:val="center"/>
            </w:pPr>
            <w:r>
              <w:t>TBD</w:t>
            </w:r>
          </w:p>
        </w:tc>
      </w:tr>
      <w:tr w:rsidR="00B83AB3" w14:paraId="0B40BAB8" w14:textId="77777777" w:rsidTr="00B83AB3">
        <w:trPr>
          <w:trHeight w:val="428"/>
        </w:trPr>
        <w:tc>
          <w:tcPr>
            <w:tcW w:w="1257" w:type="dxa"/>
            <w:vMerge/>
            <w:vAlign w:val="center"/>
          </w:tcPr>
          <w:p w14:paraId="4FD8785B" w14:textId="77777777" w:rsidR="00B83AB3" w:rsidRDefault="00B83AB3" w:rsidP="00B83AB3">
            <w:pPr>
              <w:jc w:val="center"/>
            </w:pPr>
          </w:p>
        </w:tc>
        <w:tc>
          <w:tcPr>
            <w:tcW w:w="2064" w:type="dxa"/>
            <w:vAlign w:val="center"/>
          </w:tcPr>
          <w:p w14:paraId="3E8E2382" w14:textId="77777777" w:rsidR="00B83AB3" w:rsidRDefault="00B83AB3" w:rsidP="00B83AB3">
            <w:pPr>
              <w:jc w:val="center"/>
            </w:pPr>
            <w:r>
              <w:t>50</w:t>
            </w:r>
            <w:r w:rsidRPr="007B4277">
              <w:rPr>
                <w:vertAlign w:val="superscript"/>
              </w:rPr>
              <w:t>th</w:t>
            </w:r>
            <w:r>
              <w:t xml:space="preserve"> percentile</w:t>
            </w:r>
          </w:p>
        </w:tc>
        <w:tc>
          <w:tcPr>
            <w:tcW w:w="732" w:type="dxa"/>
            <w:vAlign w:val="center"/>
          </w:tcPr>
          <w:p w14:paraId="6DF51401" w14:textId="77777777" w:rsidR="00B83AB3" w:rsidRDefault="00B83AB3" w:rsidP="00B83AB3">
            <w:pPr>
              <w:jc w:val="center"/>
            </w:pPr>
            <w:r>
              <w:t>TBD</w:t>
            </w:r>
          </w:p>
        </w:tc>
        <w:tc>
          <w:tcPr>
            <w:tcW w:w="1321" w:type="dxa"/>
            <w:vAlign w:val="center"/>
          </w:tcPr>
          <w:p w14:paraId="6E0D6C23" w14:textId="77777777" w:rsidR="00B83AB3" w:rsidRDefault="00B83AB3" w:rsidP="00B83AB3">
            <w:pPr>
              <w:jc w:val="center"/>
            </w:pPr>
            <w:r>
              <w:t>TBD</w:t>
            </w:r>
          </w:p>
        </w:tc>
        <w:tc>
          <w:tcPr>
            <w:tcW w:w="1387" w:type="dxa"/>
            <w:vAlign w:val="center"/>
          </w:tcPr>
          <w:p w14:paraId="13FA6BA3" w14:textId="58EA1DC1" w:rsidR="00B83AB3" w:rsidRDefault="00A14332" w:rsidP="00B83AB3">
            <w:pPr>
              <w:jc w:val="center"/>
            </w:pPr>
            <w:r>
              <w:t>-51.67%</w:t>
            </w:r>
          </w:p>
        </w:tc>
        <w:tc>
          <w:tcPr>
            <w:tcW w:w="1321" w:type="dxa"/>
            <w:vAlign w:val="center"/>
          </w:tcPr>
          <w:p w14:paraId="08FFF581" w14:textId="77777777" w:rsidR="00B83AB3" w:rsidRDefault="00B83AB3" w:rsidP="00B83AB3">
            <w:pPr>
              <w:jc w:val="center"/>
            </w:pPr>
            <w:r>
              <w:t>TBD</w:t>
            </w:r>
          </w:p>
        </w:tc>
        <w:tc>
          <w:tcPr>
            <w:tcW w:w="1321" w:type="dxa"/>
            <w:vAlign w:val="center"/>
          </w:tcPr>
          <w:p w14:paraId="5E7A0C8F" w14:textId="77777777" w:rsidR="00B83AB3" w:rsidRDefault="00B83AB3" w:rsidP="00B83AB3">
            <w:pPr>
              <w:jc w:val="center"/>
            </w:pPr>
            <w:r>
              <w:t>TBD</w:t>
            </w:r>
          </w:p>
        </w:tc>
      </w:tr>
    </w:tbl>
    <w:p w14:paraId="1B4A07D4" w14:textId="77777777" w:rsidR="00354F51" w:rsidRDefault="00354F51" w:rsidP="007E2D3A">
      <w:pPr>
        <w:rPr>
          <w:b/>
          <w:bCs/>
        </w:rPr>
      </w:pPr>
    </w:p>
    <w:p w14:paraId="59B4CB97" w14:textId="3FF16AD4" w:rsidR="00354F51" w:rsidRPr="007C54B2" w:rsidRDefault="00532973" w:rsidP="007E2D3A">
      <w:r>
        <w:t xml:space="preserve">Based on the figures above, we observe that the SBFD performance is impacted </w:t>
      </w:r>
      <w:r w:rsidR="00C015C5">
        <w:t xml:space="preserve">when </w:t>
      </w:r>
      <w:r w:rsidR="00CE1E78">
        <w:t xml:space="preserve">a NR TDD DL carrier is placed in the adjacent channel. </w:t>
      </w:r>
      <w:r w:rsidR="00940182">
        <w:t>The impact is DL th</w:t>
      </w:r>
      <w:r w:rsidR="00820807">
        <w:t xml:space="preserve">roughput </w:t>
      </w:r>
      <w:r w:rsidR="00760238">
        <w:t>is kept below 10%</w:t>
      </w:r>
      <w:r w:rsidR="00F5587D">
        <w:t xml:space="preserve"> while the impact on the UL throughput is much higher </w:t>
      </w:r>
      <w:r w:rsidR="00803026">
        <w:t>due to the gNB-to-gNB CLI.</w:t>
      </w:r>
      <w:r w:rsidR="00F5587D">
        <w:t xml:space="preserve"> </w:t>
      </w:r>
    </w:p>
    <w:p w14:paraId="16874993" w14:textId="004175B5" w:rsidR="00354F51" w:rsidRPr="007C54B2" w:rsidRDefault="00354F51" w:rsidP="007C54B2">
      <w:pPr>
        <w:pStyle w:val="RAN4observation0"/>
      </w:pPr>
      <w:bookmarkStart w:id="23" w:name="_Toc135075342"/>
      <w:r w:rsidRPr="000647B6">
        <w:t xml:space="preserve">Coexistence simulations shows that, for Case </w:t>
      </w:r>
      <w:r w:rsidR="007F2020" w:rsidRPr="000647B6">
        <w:t>4</w:t>
      </w:r>
      <w:r w:rsidRPr="000647B6">
        <w:t>, there is</w:t>
      </w:r>
      <w:r w:rsidRPr="000647B6" w:rsidDel="007F2020">
        <w:t xml:space="preserve"> </w:t>
      </w:r>
      <w:r w:rsidRPr="000647B6">
        <w:t>impact on the victim SBFD DL SINR between having NR TDD DL or not as the aggressor technology in the adjacent channel.</w:t>
      </w:r>
      <w:bookmarkEnd w:id="23"/>
      <w:r w:rsidRPr="000647B6">
        <w:t xml:space="preserve"> </w:t>
      </w:r>
      <w:r w:rsidR="000647B6" w:rsidRPr="007C54B2">
        <w:br/>
      </w:r>
    </w:p>
    <w:p w14:paraId="1C517B2D" w14:textId="5445807D" w:rsidR="000647B6" w:rsidRPr="000647B6" w:rsidRDefault="000647B6" w:rsidP="007C54B2">
      <w:pPr>
        <w:pStyle w:val="RAN4observation0"/>
      </w:pPr>
      <w:bookmarkStart w:id="24" w:name="_Toc135075343"/>
      <w:r w:rsidRPr="007C54B2">
        <w:t>Coexistence simulations shows that, for Case 4, the presence of DL transmissions on the adjacent channel show clear degradation of the SBFD UL SINR.</w:t>
      </w:r>
      <w:bookmarkEnd w:id="24"/>
    </w:p>
    <w:p w14:paraId="5A19B342" w14:textId="77777777" w:rsidR="00D41049" w:rsidRDefault="00D41049" w:rsidP="00D41049">
      <w:pPr>
        <w:spacing w:after="0"/>
        <w:jc w:val="both"/>
        <w:rPr>
          <w:rFonts w:cs="Times New Roman"/>
          <w:b/>
          <w:bCs/>
          <w:lang w:eastAsia="zh-CN"/>
        </w:rPr>
      </w:pPr>
    </w:p>
    <w:p w14:paraId="148EF88F" w14:textId="77777777" w:rsidR="00CD7492" w:rsidRPr="008C39F7" w:rsidRDefault="00CD7492" w:rsidP="00A37002">
      <w:pPr>
        <w:pStyle w:val="RAN4H1"/>
      </w:pPr>
      <w:bookmarkStart w:id="25" w:name="_Toc116995848"/>
      <w:r w:rsidRPr="008C39F7">
        <w:t>Conclusion</w:t>
      </w:r>
      <w:bookmarkEnd w:id="25"/>
    </w:p>
    <w:p w14:paraId="75E93CC9" w14:textId="26DD1BB4" w:rsidR="00D5270B" w:rsidRPr="008C39F7" w:rsidRDefault="008B0961" w:rsidP="00936159">
      <w:pPr>
        <w:rPr>
          <w:highlight w:val="yellow"/>
        </w:rPr>
      </w:pPr>
      <w:r w:rsidRPr="008C39F7">
        <w:t>In the paper, t</w:t>
      </w:r>
      <w:r w:rsidR="005B4801" w:rsidRPr="008C39F7">
        <w:t xml:space="preserve">he following Observations </w:t>
      </w:r>
      <w:r w:rsidRPr="008C39F7">
        <w:t>and</w:t>
      </w:r>
      <w:r w:rsidR="005B4801" w:rsidRPr="008C39F7">
        <w:t xml:space="preserve"> Proposals were made:</w:t>
      </w:r>
    </w:p>
    <w:p w14:paraId="1EE37BED" w14:textId="29750BF1" w:rsidR="00AB13B9" w:rsidRDefault="00A4355E">
      <w:pPr>
        <w:pStyle w:val="TOC4"/>
        <w:tabs>
          <w:tab w:val="right" w:leader="dot" w:pos="9617"/>
        </w:tabs>
        <w:rPr>
          <w:rFonts w:asciiTheme="minorHAnsi" w:eastAsiaTheme="minorEastAsia" w:hAnsiTheme="minorHAnsi"/>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75336" w:history="1">
        <w:r w:rsidR="00AB13B9" w:rsidRPr="00CB5B6A">
          <w:rPr>
            <w:rStyle w:val="Hyperlink"/>
            <w:noProof/>
          </w:rPr>
          <w:t>Observation 1: For coexistence case 1 and Urban Macro scenario, the DL SINR at the victim NR TDD DL remains almost unchanged regardless of whether NR TDD or SBFD is acting as aggressor technology</w:t>
        </w:r>
      </w:hyperlink>
    </w:p>
    <w:p w14:paraId="1815F69C" w14:textId="68B72CFA" w:rsidR="00AB13B9" w:rsidRDefault="003B148B">
      <w:pPr>
        <w:pStyle w:val="TOC4"/>
        <w:tabs>
          <w:tab w:val="right" w:leader="dot" w:pos="9617"/>
        </w:tabs>
        <w:rPr>
          <w:rFonts w:asciiTheme="minorHAnsi" w:eastAsiaTheme="minorEastAsia" w:hAnsiTheme="minorHAnsi"/>
          <w:sz w:val="22"/>
        </w:rPr>
      </w:pPr>
      <w:hyperlink w:anchor="_Toc135075337" w:history="1">
        <w:r w:rsidR="00AB13B9" w:rsidRPr="00CB5B6A">
          <w:rPr>
            <w:rStyle w:val="Hyperlink"/>
            <w:noProof/>
          </w:rPr>
          <w:t>Observation 2: For coexistence case 1 and Urban Hotspot scenario, the DL SINR at the victim NR TDD DL is further degraded with the presence of SBFD due to the adjacent channel UE-to-UE CLI</w:t>
        </w:r>
      </w:hyperlink>
    </w:p>
    <w:p w14:paraId="1DA28B67" w14:textId="3DCB47D9" w:rsidR="00AB13B9" w:rsidRDefault="003B148B">
      <w:pPr>
        <w:pStyle w:val="TOC4"/>
        <w:tabs>
          <w:tab w:val="right" w:leader="dot" w:pos="9617"/>
        </w:tabs>
        <w:rPr>
          <w:rFonts w:asciiTheme="minorHAnsi" w:eastAsiaTheme="minorEastAsia" w:hAnsiTheme="minorHAnsi"/>
          <w:sz w:val="22"/>
        </w:rPr>
      </w:pPr>
      <w:hyperlink w:anchor="_Toc135075338" w:history="1">
        <w:r w:rsidR="00AB13B9" w:rsidRPr="00CB5B6A">
          <w:rPr>
            <w:rStyle w:val="Hyperlink"/>
            <w:noProof/>
          </w:rPr>
          <w:t>Observation 3: For coexistence case 1 and Urban hotspot scenario, the 5</w:t>
        </w:r>
        <w:r w:rsidR="00AB13B9" w:rsidRPr="00CB5B6A">
          <w:rPr>
            <w:rStyle w:val="Hyperlink"/>
            <w:noProof/>
            <w:vertAlign w:val="superscript"/>
          </w:rPr>
          <w:t>th</w:t>
        </w:r>
        <w:r w:rsidR="00AB13B9" w:rsidRPr="00CB5B6A">
          <w:rPr>
            <w:rStyle w:val="Hyperlink"/>
            <w:noProof/>
          </w:rPr>
          <w:t xml:space="preserve"> and 50</w:t>
        </w:r>
        <w:r w:rsidR="00AB13B9" w:rsidRPr="00CB5B6A">
          <w:rPr>
            <w:rStyle w:val="Hyperlink"/>
            <w:noProof/>
            <w:vertAlign w:val="superscript"/>
          </w:rPr>
          <w:t>th</w:t>
        </w:r>
        <w:r w:rsidR="00AB13B9" w:rsidRPr="00CB5B6A">
          <w:rPr>
            <w:rStyle w:val="Hyperlink"/>
            <w:noProof/>
          </w:rPr>
          <w:t xml:space="preserve"> percentiles DL SINR shows clear degradation when SBFD is used (as compared to when TDD DL is used)</w:t>
        </w:r>
      </w:hyperlink>
    </w:p>
    <w:p w14:paraId="7FCAA1E4" w14:textId="47D7DA71" w:rsidR="00AB13B9" w:rsidRDefault="003B148B">
      <w:pPr>
        <w:pStyle w:val="TOC4"/>
        <w:tabs>
          <w:tab w:val="right" w:leader="dot" w:pos="9617"/>
        </w:tabs>
        <w:rPr>
          <w:rFonts w:asciiTheme="minorHAnsi" w:eastAsiaTheme="minorEastAsia" w:hAnsiTheme="minorHAnsi"/>
          <w:sz w:val="22"/>
        </w:rPr>
      </w:pPr>
      <w:hyperlink w:anchor="_Toc135075339" w:history="1">
        <w:r w:rsidR="00AB13B9" w:rsidRPr="00CB5B6A">
          <w:rPr>
            <w:rStyle w:val="Hyperlink"/>
            <w:noProof/>
          </w:rPr>
          <w:t>Observation 4: For coexistence case 1 and Urban hotspot scenario, degradation of the DL throughput is observed in both 5</w:t>
        </w:r>
        <w:r w:rsidR="00AB13B9" w:rsidRPr="00CB5B6A">
          <w:rPr>
            <w:rStyle w:val="Hyperlink"/>
            <w:noProof/>
            <w:vertAlign w:val="superscript"/>
          </w:rPr>
          <w:t xml:space="preserve">th </w:t>
        </w:r>
        <w:r w:rsidR="00AB13B9" w:rsidRPr="00CB5B6A">
          <w:rPr>
            <w:rStyle w:val="Hyperlink"/>
            <w:noProof/>
          </w:rPr>
          <w:t>and 50</w:t>
        </w:r>
        <w:r w:rsidR="00AB13B9" w:rsidRPr="00CB5B6A">
          <w:rPr>
            <w:rStyle w:val="Hyperlink"/>
            <w:noProof/>
            <w:vertAlign w:val="superscript"/>
          </w:rPr>
          <w:t>th</w:t>
        </w:r>
        <w:r w:rsidR="00AB13B9" w:rsidRPr="00CB5B6A">
          <w:rPr>
            <w:rStyle w:val="Hyperlink"/>
            <w:noProof/>
          </w:rPr>
          <w:t xml:space="preserve"> percentiles when the performance with an aggressor SBFD is compared to the performance of an aggressor TDD. In the 5</w:t>
        </w:r>
        <w:r w:rsidR="00AB13B9" w:rsidRPr="00CB5B6A">
          <w:rPr>
            <w:rStyle w:val="Hyperlink"/>
            <w:noProof/>
            <w:vertAlign w:val="superscript"/>
          </w:rPr>
          <w:t>th</w:t>
        </w:r>
        <w:r w:rsidR="00AB13B9" w:rsidRPr="00CB5B6A">
          <w:rPr>
            <w:rStyle w:val="Hyperlink"/>
            <w:noProof/>
          </w:rPr>
          <w:t xml:space="preserve"> percentile, the DL throughput of the victim TDD subject to interference from an aggressor SBFD is approximately half of the throughput obtained when subject to interference from an aggressor TDD.</w:t>
        </w:r>
      </w:hyperlink>
    </w:p>
    <w:p w14:paraId="1BB19FDE" w14:textId="49930038" w:rsidR="00AB13B9" w:rsidRDefault="003B148B">
      <w:pPr>
        <w:pStyle w:val="TOC4"/>
        <w:tabs>
          <w:tab w:val="right" w:leader="dot" w:pos="9617"/>
        </w:tabs>
        <w:rPr>
          <w:rFonts w:asciiTheme="minorHAnsi" w:eastAsiaTheme="minorEastAsia" w:hAnsiTheme="minorHAnsi"/>
          <w:sz w:val="22"/>
        </w:rPr>
      </w:pPr>
      <w:hyperlink w:anchor="_Toc135075340" w:history="1">
        <w:r w:rsidR="00AB13B9" w:rsidRPr="00CB5B6A">
          <w:rPr>
            <w:rStyle w:val="Hyperlink"/>
            <w:noProof/>
          </w:rPr>
          <w:t>Observation 5: For coexistence case 2, when SBFD is the aggressor technology, there is UL SINR degradation in all percentiles for 10% or 100% grid shifts, when compared to the UL SINR when the victim is subject to interference from TDD.</w:t>
        </w:r>
      </w:hyperlink>
    </w:p>
    <w:p w14:paraId="084EBAD4" w14:textId="62B85646" w:rsidR="00AB13B9" w:rsidRDefault="003B148B">
      <w:pPr>
        <w:pStyle w:val="TOC4"/>
        <w:tabs>
          <w:tab w:val="right" w:leader="dot" w:pos="9617"/>
        </w:tabs>
        <w:rPr>
          <w:rFonts w:asciiTheme="minorHAnsi" w:eastAsiaTheme="minorEastAsia" w:hAnsiTheme="minorHAnsi"/>
          <w:sz w:val="22"/>
        </w:rPr>
      </w:pPr>
      <w:hyperlink w:anchor="_Toc135075342" w:history="1">
        <w:r w:rsidR="00AB13B9" w:rsidRPr="00CB5B6A">
          <w:rPr>
            <w:rStyle w:val="Hyperlink"/>
            <w:noProof/>
          </w:rPr>
          <w:t>Observation 6: Coexistence simulations shows that, for Case 4, there is impact on the victim SBFD DL SINR between having NR TDD DL or not as the aggressor technology in the adjacent channel.</w:t>
        </w:r>
      </w:hyperlink>
    </w:p>
    <w:p w14:paraId="4F620CD0" w14:textId="2EE8DBE7" w:rsidR="00AB13B9" w:rsidRDefault="003B148B">
      <w:pPr>
        <w:pStyle w:val="TOC4"/>
        <w:tabs>
          <w:tab w:val="right" w:leader="dot" w:pos="9617"/>
        </w:tabs>
        <w:rPr>
          <w:rFonts w:asciiTheme="minorHAnsi" w:eastAsiaTheme="minorEastAsia" w:hAnsiTheme="minorHAnsi"/>
          <w:sz w:val="22"/>
        </w:rPr>
      </w:pPr>
      <w:hyperlink w:anchor="_Toc135075343" w:history="1">
        <w:r w:rsidR="00AB13B9" w:rsidRPr="00CB5B6A">
          <w:rPr>
            <w:rStyle w:val="Hyperlink"/>
            <w:noProof/>
          </w:rPr>
          <w:t>Observation 7: Coexistence simulations shows that, for Case 4, the presence of DL transmissions on the adjacent channel show clear degradation of the SBFD UL SINR.</w:t>
        </w:r>
      </w:hyperlink>
    </w:p>
    <w:p w14:paraId="0F1AE477" w14:textId="61658550" w:rsidR="008C39F7" w:rsidRPr="008C39F7" w:rsidRDefault="00A4355E" w:rsidP="008C39F7">
      <w:r w:rsidRPr="008C39F7">
        <w:fldChar w:fldCharType="end"/>
      </w:r>
      <w:bookmarkStart w:id="26" w:name="_Toc116995849"/>
    </w:p>
    <w:p w14:paraId="15BB6673" w14:textId="77777777" w:rsidR="003B659E" w:rsidRPr="008C39F7" w:rsidRDefault="003B659E" w:rsidP="0060543D">
      <w:pPr>
        <w:pStyle w:val="RAN4H1"/>
        <w:numPr>
          <w:ilvl w:val="0"/>
          <w:numId w:val="0"/>
        </w:numPr>
        <w:ind w:left="360" w:hanging="360"/>
      </w:pPr>
      <w:r w:rsidRPr="008C39F7">
        <w:t>References</w:t>
      </w:r>
      <w:bookmarkEnd w:id="26"/>
    </w:p>
    <w:p w14:paraId="23BF5F9C" w14:textId="036E135A" w:rsidR="00511870" w:rsidRDefault="00511870" w:rsidP="00D66188">
      <w:pPr>
        <w:pStyle w:val="ListParagraph"/>
        <w:numPr>
          <w:ilvl w:val="0"/>
          <w:numId w:val="21"/>
        </w:numPr>
        <w:ind w:right="-22"/>
      </w:pPr>
      <w:bookmarkStart w:id="27" w:name="_Ref114500673"/>
      <w:bookmarkStart w:id="28" w:name="_Ref133827377"/>
      <w:bookmarkStart w:id="29" w:name="_Ref133826850"/>
      <w:bookmarkEnd w:id="27"/>
      <w:r>
        <w:t xml:space="preserve">RP-223041, </w:t>
      </w:r>
      <w:r w:rsidRPr="00511870">
        <w:t>Revised SID: Study on evolution of NR duplex operation</w:t>
      </w:r>
      <w:r>
        <w:t>, CMCC, RAN #98, December 2022.</w:t>
      </w:r>
      <w:bookmarkEnd w:id="28"/>
    </w:p>
    <w:p w14:paraId="51560C9D" w14:textId="31A861DE" w:rsidR="00687FA0" w:rsidRPr="008C39F7" w:rsidRDefault="00D845D0" w:rsidP="00D66188">
      <w:pPr>
        <w:pStyle w:val="ListParagraph"/>
        <w:numPr>
          <w:ilvl w:val="0"/>
          <w:numId w:val="21"/>
        </w:numPr>
        <w:ind w:right="-22"/>
      </w:pPr>
      <w:bookmarkStart w:id="30" w:name="_Ref133827387"/>
      <w:r w:rsidRPr="00D845D0">
        <w:t>R4-2305921</w:t>
      </w:r>
      <w:r>
        <w:t>,</w:t>
      </w:r>
      <w:r w:rsidRPr="00D845D0">
        <w:t xml:space="preserve"> WF for SBFD adjacent channel co-existence study</w:t>
      </w:r>
      <w:r>
        <w:t xml:space="preserve">, </w:t>
      </w:r>
      <w:r w:rsidRPr="00D845D0">
        <w:t>CMCC</w:t>
      </w:r>
      <w:r>
        <w:t>, RAN4 #106-bis-e</w:t>
      </w:r>
      <w:r w:rsidR="00D40288" w:rsidRPr="008C39F7">
        <w:t xml:space="preserve">, </w:t>
      </w:r>
      <w:r>
        <w:t>online, April 17 – 26, 2023</w:t>
      </w:r>
      <w:r w:rsidR="000040DC" w:rsidRPr="008C39F7">
        <w:t>.</w:t>
      </w:r>
      <w:bookmarkEnd w:id="29"/>
      <w:bookmarkEnd w:id="30"/>
      <w:r w:rsidR="000040DC" w:rsidRPr="008C39F7">
        <w:t xml:space="preserve"> </w:t>
      </w:r>
    </w:p>
    <w:p w14:paraId="4FB345BF" w14:textId="462211BD" w:rsidR="00D845D0" w:rsidRPr="008C39F7" w:rsidRDefault="00D845D0" w:rsidP="00D845D0">
      <w:pPr>
        <w:pStyle w:val="ListParagraph"/>
        <w:numPr>
          <w:ilvl w:val="0"/>
          <w:numId w:val="21"/>
        </w:numPr>
        <w:ind w:right="-22"/>
      </w:pPr>
      <w:bookmarkStart w:id="31" w:name="_Ref133827065"/>
      <w:r w:rsidRPr="00D845D0">
        <w:t>R4-2305922</w:t>
      </w:r>
      <w:r w:rsidR="000040DC" w:rsidRPr="008C39F7">
        <w:t xml:space="preserve">, </w:t>
      </w:r>
      <w:r w:rsidRPr="00D845D0">
        <w:t>WF for SBFD adjacent channel co-existence study for UMa-to-UMi scenario</w:t>
      </w:r>
      <w:r>
        <w:t>, CMCC, CableLabs</w:t>
      </w:r>
      <w:r w:rsidR="000040DC" w:rsidRPr="008C39F7">
        <w:t>,</w:t>
      </w:r>
      <w:r w:rsidR="00E833FE">
        <w:t xml:space="preserve"> </w:t>
      </w:r>
      <w:r>
        <w:t>RAN4 #106-bis-e</w:t>
      </w:r>
      <w:r w:rsidRPr="008C39F7">
        <w:t xml:space="preserve">, </w:t>
      </w:r>
      <w:r>
        <w:t>online, April 17 – 26, 2023</w:t>
      </w:r>
      <w:r w:rsidRPr="008C39F7">
        <w:t>.</w:t>
      </w:r>
      <w:bookmarkEnd w:id="31"/>
      <w:r w:rsidRPr="008C39F7">
        <w:t xml:space="preserve"> </w:t>
      </w:r>
    </w:p>
    <w:p w14:paraId="41118B9A" w14:textId="77777777" w:rsidR="0060543D" w:rsidRDefault="0060543D" w:rsidP="0060543D"/>
    <w:p w14:paraId="6864B441" w14:textId="74CE0FFA" w:rsidR="006D13F5" w:rsidRDefault="002C5906" w:rsidP="002C5906">
      <w:pPr>
        <w:pStyle w:val="RAN4H1"/>
      </w:pPr>
      <w:r>
        <w:t>Simulation assumptions annex</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7171"/>
      </w:tblGrid>
      <w:tr w:rsidR="003E17EC" w:rsidRPr="002B6DA7" w14:paraId="244EDE5A" w14:textId="77777777" w:rsidTr="00591CED">
        <w:trPr>
          <w:trHeight w:val="139"/>
          <w:jc w:val="center"/>
        </w:trPr>
        <w:tc>
          <w:tcPr>
            <w:tcW w:w="24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D14F8B5" w14:textId="77777777" w:rsidR="003E17EC" w:rsidRPr="002B6DA7" w:rsidRDefault="003E17EC">
            <w:pPr>
              <w:keepNext/>
              <w:keepLines/>
              <w:spacing w:after="0"/>
              <w:rPr>
                <w:rFonts w:eastAsia="Symbol"/>
                <w:b/>
                <w:sz w:val="18"/>
              </w:rPr>
            </w:pPr>
            <w:r w:rsidRPr="002B6DA7">
              <w:rPr>
                <w:rFonts w:eastAsia="Symbol"/>
                <w:b/>
                <w:sz w:val="18"/>
              </w:rPr>
              <w:t>Parameters</w:t>
            </w:r>
          </w:p>
        </w:tc>
        <w:tc>
          <w:tcPr>
            <w:tcW w:w="717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8962D26" w14:textId="77777777" w:rsidR="003E17EC" w:rsidRPr="002B6DA7" w:rsidRDefault="003E17EC">
            <w:pPr>
              <w:keepNext/>
              <w:keepLines/>
              <w:spacing w:after="0"/>
              <w:rPr>
                <w:rFonts w:eastAsia="Symbol"/>
                <w:b/>
                <w:sz w:val="18"/>
                <w:lang w:eastAsia="zh-CN"/>
              </w:rPr>
            </w:pPr>
            <w:r w:rsidRPr="002B6DA7">
              <w:rPr>
                <w:rFonts w:eastAsia="Symbol"/>
                <w:b/>
                <w:sz w:val="18"/>
                <w:lang w:eastAsia="zh-CN"/>
              </w:rPr>
              <w:t>Value</w:t>
            </w:r>
          </w:p>
        </w:tc>
      </w:tr>
      <w:tr w:rsidR="003E17EC" w:rsidRPr="002B6DA7" w14:paraId="3514BCE0" w14:textId="77777777" w:rsidTr="00591CED">
        <w:trPr>
          <w:trHeight w:val="118"/>
          <w:jc w:val="center"/>
        </w:trPr>
        <w:tc>
          <w:tcPr>
            <w:tcW w:w="2408" w:type="dxa"/>
            <w:tcBorders>
              <w:top w:val="single" w:sz="4" w:space="0" w:color="auto"/>
              <w:left w:val="single" w:sz="4" w:space="0" w:color="auto"/>
              <w:bottom w:val="single" w:sz="4" w:space="0" w:color="auto"/>
              <w:right w:val="single" w:sz="4" w:space="0" w:color="auto"/>
            </w:tcBorders>
          </w:tcPr>
          <w:p w14:paraId="00B4EA7B" w14:textId="77777777" w:rsidR="003E17EC" w:rsidRPr="002B6DA7" w:rsidRDefault="003E17EC">
            <w:pPr>
              <w:keepNext/>
              <w:keepLines/>
              <w:spacing w:after="0"/>
              <w:contextualSpacing/>
              <w:rPr>
                <w:rFonts w:eastAsia="Symbol"/>
                <w:sz w:val="18"/>
              </w:rPr>
            </w:pPr>
            <w:r w:rsidRPr="002B6DA7">
              <w:rPr>
                <w:rFonts w:eastAsia="Symbol"/>
                <w:sz w:val="18"/>
              </w:rPr>
              <w:t>Scenario</w:t>
            </w:r>
          </w:p>
        </w:tc>
        <w:tc>
          <w:tcPr>
            <w:tcW w:w="7171" w:type="dxa"/>
            <w:tcBorders>
              <w:top w:val="single" w:sz="4" w:space="0" w:color="auto"/>
              <w:left w:val="single" w:sz="4" w:space="0" w:color="auto"/>
              <w:bottom w:val="single" w:sz="4" w:space="0" w:color="auto"/>
              <w:right w:val="single" w:sz="4" w:space="0" w:color="auto"/>
            </w:tcBorders>
          </w:tcPr>
          <w:p w14:paraId="5C138414" w14:textId="77777777" w:rsidR="003E17EC" w:rsidRDefault="003E17EC" w:rsidP="00591CED">
            <w:pPr>
              <w:spacing w:after="0"/>
              <w:contextualSpacing/>
              <w:rPr>
                <w:rFonts w:eastAsia="Symbol"/>
                <w:sz w:val="18"/>
              </w:rPr>
            </w:pPr>
            <w:r w:rsidRPr="002B6DA7">
              <w:rPr>
                <w:rFonts w:eastAsia="Symbol"/>
                <w:sz w:val="18"/>
              </w:rPr>
              <w:t xml:space="preserve">Urban Macro </w:t>
            </w:r>
            <w:r>
              <w:rPr>
                <w:rFonts w:eastAsia="Symbol"/>
                <w:sz w:val="18"/>
              </w:rPr>
              <w:t>w</w:t>
            </w:r>
            <w:r w:rsidRPr="002B6DA7">
              <w:rPr>
                <w:rFonts w:eastAsia="Symbol"/>
                <w:sz w:val="18"/>
              </w:rPr>
              <w:t xml:space="preserve">ith </w:t>
            </w:r>
            <w:r>
              <w:rPr>
                <w:rFonts w:eastAsia="Symbol"/>
                <w:sz w:val="18"/>
              </w:rPr>
              <w:t>19</w:t>
            </w:r>
            <w:r w:rsidRPr="002B6DA7">
              <w:rPr>
                <w:rFonts w:eastAsia="Symbol"/>
                <w:sz w:val="18"/>
              </w:rPr>
              <w:t>x3=</w:t>
            </w:r>
            <w:r>
              <w:rPr>
                <w:rFonts w:eastAsia="Symbol"/>
                <w:sz w:val="18"/>
              </w:rPr>
              <w:t>57</w:t>
            </w:r>
            <w:r w:rsidR="00B96D23">
              <w:rPr>
                <w:rFonts w:eastAsia="Symbol"/>
                <w:sz w:val="18"/>
              </w:rPr>
              <w:t xml:space="preserve"> hexagonal</w:t>
            </w:r>
            <w:r w:rsidRPr="002B6DA7">
              <w:rPr>
                <w:rFonts w:eastAsia="Symbol"/>
                <w:sz w:val="18"/>
              </w:rPr>
              <w:t xml:space="preserve"> cells and 500 meter</w:t>
            </w:r>
            <w:r w:rsidR="00B96D23">
              <w:rPr>
                <w:rFonts w:eastAsia="Symbol"/>
                <w:sz w:val="18"/>
              </w:rPr>
              <w:t>s inter-site distance.</w:t>
            </w:r>
            <w:r w:rsidR="00B96D23">
              <w:rPr>
                <w:rFonts w:eastAsia="Symbol"/>
                <w:sz w:val="18"/>
              </w:rPr>
              <w:br/>
              <w:t>Wrap-around disabled</w:t>
            </w:r>
          </w:p>
          <w:p w14:paraId="494D49CB" w14:textId="2FA46E03" w:rsidR="002B5417" w:rsidRPr="002B6DA7" w:rsidRDefault="002B5417" w:rsidP="00591CED">
            <w:pPr>
              <w:spacing w:after="0"/>
              <w:contextualSpacing/>
              <w:rPr>
                <w:rFonts w:eastAsia="Symbol"/>
                <w:sz w:val="18"/>
              </w:rPr>
            </w:pPr>
            <w:r>
              <w:rPr>
                <w:rFonts w:eastAsia="Symbol"/>
                <w:sz w:val="18"/>
              </w:rPr>
              <w:t>Grid shift = 100%</w:t>
            </w:r>
          </w:p>
        </w:tc>
      </w:tr>
      <w:tr w:rsidR="003E17EC" w:rsidRPr="002B6DA7" w14:paraId="43EF0B93" w14:textId="77777777" w:rsidTr="00591CED">
        <w:trPr>
          <w:trHeight w:val="118"/>
          <w:jc w:val="center"/>
        </w:trPr>
        <w:tc>
          <w:tcPr>
            <w:tcW w:w="2408" w:type="dxa"/>
            <w:tcBorders>
              <w:top w:val="single" w:sz="4" w:space="0" w:color="auto"/>
              <w:left w:val="single" w:sz="4" w:space="0" w:color="auto"/>
              <w:bottom w:val="single" w:sz="4" w:space="0" w:color="auto"/>
              <w:right w:val="single" w:sz="4" w:space="0" w:color="auto"/>
            </w:tcBorders>
          </w:tcPr>
          <w:p w14:paraId="779EA5D4" w14:textId="5496FC51" w:rsidR="003E17EC" w:rsidRPr="002B6DA7" w:rsidRDefault="009C07BA">
            <w:pPr>
              <w:keepNext/>
              <w:keepLines/>
              <w:spacing w:after="0"/>
              <w:contextualSpacing/>
              <w:rPr>
                <w:rFonts w:eastAsia="Symbol"/>
                <w:sz w:val="18"/>
              </w:rPr>
            </w:pPr>
            <w:r>
              <w:rPr>
                <w:rFonts w:eastAsia="Symbol"/>
                <w:sz w:val="18"/>
              </w:rPr>
              <w:t>Center frequency</w:t>
            </w:r>
          </w:p>
        </w:tc>
        <w:tc>
          <w:tcPr>
            <w:tcW w:w="7171" w:type="dxa"/>
            <w:tcBorders>
              <w:top w:val="single" w:sz="4" w:space="0" w:color="auto"/>
              <w:left w:val="single" w:sz="4" w:space="0" w:color="auto"/>
              <w:bottom w:val="single" w:sz="4" w:space="0" w:color="auto"/>
              <w:right w:val="single" w:sz="4" w:space="0" w:color="auto"/>
            </w:tcBorders>
          </w:tcPr>
          <w:p w14:paraId="1C4CA8A9" w14:textId="29650240" w:rsidR="003E17EC" w:rsidRPr="002B6DA7" w:rsidRDefault="009C07BA" w:rsidP="00591CED">
            <w:pPr>
              <w:spacing w:after="0"/>
              <w:contextualSpacing/>
              <w:rPr>
                <w:rFonts w:eastAsia="Symbol"/>
                <w:sz w:val="18"/>
              </w:rPr>
            </w:pPr>
            <w:r>
              <w:rPr>
                <w:rFonts w:eastAsia="Symbol"/>
                <w:sz w:val="18"/>
              </w:rPr>
              <w:t>4 GHz</w:t>
            </w:r>
          </w:p>
        </w:tc>
      </w:tr>
      <w:tr w:rsidR="003E17EC" w:rsidRPr="002B6DA7" w14:paraId="1225F509" w14:textId="77777777" w:rsidTr="00591CED">
        <w:trPr>
          <w:trHeight w:val="118"/>
          <w:jc w:val="center"/>
        </w:trPr>
        <w:tc>
          <w:tcPr>
            <w:tcW w:w="2408" w:type="dxa"/>
            <w:tcBorders>
              <w:top w:val="single" w:sz="4" w:space="0" w:color="auto"/>
              <w:left w:val="single" w:sz="4" w:space="0" w:color="auto"/>
              <w:bottom w:val="single" w:sz="4" w:space="0" w:color="auto"/>
              <w:right w:val="single" w:sz="4" w:space="0" w:color="auto"/>
            </w:tcBorders>
          </w:tcPr>
          <w:p w14:paraId="449BD860" w14:textId="77777777" w:rsidR="003E17EC" w:rsidRPr="002B6DA7" w:rsidRDefault="003E17EC">
            <w:pPr>
              <w:keepNext/>
              <w:keepLines/>
              <w:spacing w:after="0"/>
              <w:contextualSpacing/>
              <w:rPr>
                <w:rFonts w:eastAsia="Symbol"/>
                <w:sz w:val="18"/>
              </w:rPr>
            </w:pPr>
            <w:r w:rsidRPr="002B6DA7">
              <w:rPr>
                <w:rFonts w:eastAsia="Symbol"/>
                <w:sz w:val="18"/>
              </w:rPr>
              <w:t>Carrier bandwidth</w:t>
            </w:r>
          </w:p>
        </w:tc>
        <w:tc>
          <w:tcPr>
            <w:tcW w:w="7171" w:type="dxa"/>
            <w:tcBorders>
              <w:top w:val="single" w:sz="4" w:space="0" w:color="auto"/>
              <w:left w:val="single" w:sz="4" w:space="0" w:color="auto"/>
              <w:bottom w:val="single" w:sz="4" w:space="0" w:color="auto"/>
              <w:right w:val="single" w:sz="4" w:space="0" w:color="auto"/>
            </w:tcBorders>
          </w:tcPr>
          <w:p w14:paraId="29C8A9C7" w14:textId="7334DA15" w:rsidR="003E17EC" w:rsidRPr="002B6DA7" w:rsidRDefault="003E17EC" w:rsidP="00591CED">
            <w:pPr>
              <w:spacing w:after="0"/>
              <w:contextualSpacing/>
              <w:rPr>
                <w:rFonts w:eastAsia="Symbol"/>
                <w:sz w:val="18"/>
              </w:rPr>
            </w:pPr>
            <w:r w:rsidRPr="002B6DA7">
              <w:rPr>
                <w:rFonts w:eastAsia="Symbol"/>
                <w:sz w:val="18"/>
              </w:rPr>
              <w:t>100 MHz</w:t>
            </w:r>
          </w:p>
        </w:tc>
      </w:tr>
      <w:tr w:rsidR="009C07BA" w:rsidRPr="002B6DA7" w14:paraId="1D1F1D6B" w14:textId="77777777" w:rsidTr="00591CED">
        <w:trPr>
          <w:trHeight w:val="118"/>
          <w:jc w:val="center"/>
        </w:trPr>
        <w:tc>
          <w:tcPr>
            <w:tcW w:w="2408" w:type="dxa"/>
            <w:tcBorders>
              <w:top w:val="single" w:sz="4" w:space="0" w:color="auto"/>
              <w:left w:val="single" w:sz="4" w:space="0" w:color="auto"/>
              <w:bottom w:val="single" w:sz="4" w:space="0" w:color="auto"/>
              <w:right w:val="single" w:sz="4" w:space="0" w:color="auto"/>
            </w:tcBorders>
          </w:tcPr>
          <w:p w14:paraId="621C381B" w14:textId="24DBA970" w:rsidR="009C07BA" w:rsidRPr="002B6DA7" w:rsidRDefault="009C07BA">
            <w:pPr>
              <w:keepNext/>
              <w:keepLines/>
              <w:spacing w:after="0"/>
              <w:contextualSpacing/>
              <w:rPr>
                <w:rFonts w:eastAsia="Symbol"/>
                <w:sz w:val="18"/>
              </w:rPr>
            </w:pPr>
            <w:r>
              <w:rPr>
                <w:rFonts w:eastAsia="Symbol"/>
                <w:sz w:val="18"/>
              </w:rPr>
              <w:t>Duplex scheme</w:t>
            </w:r>
          </w:p>
        </w:tc>
        <w:tc>
          <w:tcPr>
            <w:tcW w:w="7171" w:type="dxa"/>
            <w:tcBorders>
              <w:top w:val="single" w:sz="4" w:space="0" w:color="auto"/>
              <w:left w:val="single" w:sz="4" w:space="0" w:color="auto"/>
              <w:bottom w:val="single" w:sz="4" w:space="0" w:color="auto"/>
              <w:right w:val="single" w:sz="4" w:space="0" w:color="auto"/>
            </w:tcBorders>
          </w:tcPr>
          <w:p w14:paraId="2D871E6F" w14:textId="77777777" w:rsidR="009C07BA" w:rsidRDefault="009C07BA" w:rsidP="00591CED">
            <w:pPr>
              <w:spacing w:after="0"/>
              <w:contextualSpacing/>
              <w:rPr>
                <w:rFonts w:eastAsia="Symbol"/>
                <w:sz w:val="18"/>
              </w:rPr>
            </w:pPr>
            <w:r>
              <w:rPr>
                <w:rFonts w:eastAsia="Symbol"/>
                <w:sz w:val="18"/>
              </w:rPr>
              <w:t>NR TDD DL: static TDD with “DDDDD”</w:t>
            </w:r>
          </w:p>
          <w:p w14:paraId="7F12E948" w14:textId="77777777" w:rsidR="009C07BA" w:rsidRDefault="009C07BA" w:rsidP="00591CED">
            <w:pPr>
              <w:spacing w:after="0"/>
              <w:contextualSpacing/>
              <w:rPr>
                <w:rFonts w:eastAsia="Symbol"/>
                <w:sz w:val="18"/>
              </w:rPr>
            </w:pPr>
            <w:r>
              <w:rPr>
                <w:rFonts w:eastAsia="Symbol"/>
                <w:sz w:val="18"/>
              </w:rPr>
              <w:t>NR TDD UL: static TDD with “</w:t>
            </w:r>
            <w:r w:rsidR="00160FE2">
              <w:rPr>
                <w:rFonts w:eastAsia="Symbol"/>
                <w:sz w:val="18"/>
              </w:rPr>
              <w:t>DUUUU”’</w:t>
            </w:r>
          </w:p>
          <w:p w14:paraId="6FA16150" w14:textId="07F368E8" w:rsidR="00160FE2" w:rsidRPr="002B6DA7" w:rsidRDefault="00160FE2" w:rsidP="00591CED">
            <w:pPr>
              <w:spacing w:after="0"/>
              <w:contextualSpacing/>
              <w:rPr>
                <w:rFonts w:eastAsia="Symbol"/>
                <w:sz w:val="18"/>
              </w:rPr>
            </w:pPr>
            <w:r>
              <w:rPr>
                <w:rFonts w:eastAsia="Symbol"/>
                <w:sz w:val="18"/>
              </w:rPr>
              <w:t>SBFD: “XXXXX”, with X = SBFD slot</w:t>
            </w:r>
            <w:r w:rsidR="00C21126">
              <w:rPr>
                <w:rFonts w:eastAsia="Symbol"/>
                <w:sz w:val="18"/>
              </w:rPr>
              <w:t>. 80:20 DL/UL sub-band split</w:t>
            </w:r>
          </w:p>
        </w:tc>
      </w:tr>
      <w:tr w:rsidR="003E17EC" w:rsidRPr="002B6DA7" w14:paraId="30530428" w14:textId="77777777" w:rsidTr="00591CED">
        <w:trPr>
          <w:trHeight w:val="8"/>
          <w:jc w:val="center"/>
        </w:trPr>
        <w:tc>
          <w:tcPr>
            <w:tcW w:w="2408" w:type="dxa"/>
            <w:tcBorders>
              <w:top w:val="single" w:sz="4" w:space="0" w:color="auto"/>
              <w:left w:val="single" w:sz="4" w:space="0" w:color="auto"/>
              <w:bottom w:val="single" w:sz="4" w:space="0" w:color="auto"/>
              <w:right w:val="single" w:sz="4" w:space="0" w:color="auto"/>
            </w:tcBorders>
          </w:tcPr>
          <w:p w14:paraId="46A91832" w14:textId="77777777" w:rsidR="003E17EC" w:rsidRPr="002B6DA7" w:rsidRDefault="003E17EC">
            <w:pPr>
              <w:keepNext/>
              <w:keepLines/>
              <w:spacing w:after="0"/>
              <w:contextualSpacing/>
              <w:rPr>
                <w:rFonts w:eastAsia="Symbol"/>
                <w:sz w:val="18"/>
              </w:rPr>
            </w:pPr>
            <w:r w:rsidRPr="002B6DA7">
              <w:rPr>
                <w:rFonts w:eastAsia="Symbol"/>
                <w:sz w:val="18"/>
              </w:rPr>
              <w:t>Traffic model</w:t>
            </w:r>
          </w:p>
        </w:tc>
        <w:tc>
          <w:tcPr>
            <w:tcW w:w="7171" w:type="dxa"/>
            <w:tcBorders>
              <w:top w:val="single" w:sz="4" w:space="0" w:color="auto"/>
              <w:left w:val="single" w:sz="4" w:space="0" w:color="auto"/>
              <w:bottom w:val="single" w:sz="4" w:space="0" w:color="auto"/>
              <w:right w:val="single" w:sz="4" w:space="0" w:color="auto"/>
            </w:tcBorders>
          </w:tcPr>
          <w:p w14:paraId="60121240" w14:textId="20A73ABB" w:rsidR="003E17EC" w:rsidRPr="002B6DA7" w:rsidRDefault="002C43C6" w:rsidP="00591CED">
            <w:pPr>
              <w:keepNext/>
              <w:keepLines/>
              <w:spacing w:after="0"/>
              <w:contextualSpacing/>
              <w:rPr>
                <w:rFonts w:eastAsia="Symbol"/>
                <w:sz w:val="18"/>
              </w:rPr>
            </w:pPr>
            <w:r>
              <w:rPr>
                <w:rFonts w:eastAsia="Symbol"/>
                <w:sz w:val="18"/>
              </w:rPr>
              <w:t>Full buffer</w:t>
            </w:r>
          </w:p>
        </w:tc>
      </w:tr>
      <w:tr w:rsidR="003E17EC" w:rsidRPr="002B6DA7" w14:paraId="12244804" w14:textId="77777777" w:rsidTr="00591CED">
        <w:trPr>
          <w:trHeight w:val="8"/>
          <w:jc w:val="center"/>
        </w:trPr>
        <w:tc>
          <w:tcPr>
            <w:tcW w:w="2408" w:type="dxa"/>
            <w:tcBorders>
              <w:top w:val="single" w:sz="4" w:space="0" w:color="auto"/>
              <w:left w:val="single" w:sz="4" w:space="0" w:color="auto"/>
              <w:bottom w:val="single" w:sz="4" w:space="0" w:color="auto"/>
              <w:right w:val="single" w:sz="4" w:space="0" w:color="auto"/>
            </w:tcBorders>
          </w:tcPr>
          <w:p w14:paraId="7BD34360" w14:textId="77777777" w:rsidR="003E17EC" w:rsidRPr="002B6DA7" w:rsidRDefault="003E17EC">
            <w:pPr>
              <w:keepNext/>
              <w:keepLines/>
              <w:spacing w:after="0"/>
              <w:contextualSpacing/>
              <w:rPr>
                <w:rFonts w:eastAsia="Symbol"/>
                <w:sz w:val="18"/>
              </w:rPr>
            </w:pPr>
            <w:r w:rsidRPr="002B6DA7">
              <w:rPr>
                <w:rFonts w:eastAsia="Symbol"/>
                <w:sz w:val="18"/>
              </w:rPr>
              <w:t>Channel modelling</w:t>
            </w:r>
          </w:p>
        </w:tc>
        <w:tc>
          <w:tcPr>
            <w:tcW w:w="7171" w:type="dxa"/>
            <w:tcBorders>
              <w:top w:val="single" w:sz="4" w:space="0" w:color="auto"/>
              <w:left w:val="single" w:sz="4" w:space="0" w:color="auto"/>
              <w:bottom w:val="single" w:sz="4" w:space="0" w:color="auto"/>
              <w:right w:val="single" w:sz="4" w:space="0" w:color="auto"/>
            </w:tcBorders>
          </w:tcPr>
          <w:p w14:paraId="72CCB9B3" w14:textId="15E31578" w:rsidR="003E17EC" w:rsidRPr="002B6DA7" w:rsidRDefault="003E17EC" w:rsidP="00591CED">
            <w:pPr>
              <w:keepNext/>
              <w:keepLines/>
              <w:spacing w:after="0"/>
              <w:contextualSpacing/>
              <w:rPr>
                <w:rFonts w:eastAsia="Symbol"/>
                <w:sz w:val="18"/>
              </w:rPr>
            </w:pPr>
            <w:r w:rsidRPr="002B6DA7">
              <w:rPr>
                <w:rFonts w:eastAsia="Symbol"/>
                <w:sz w:val="18"/>
              </w:rPr>
              <w:t>gNB-UE: TR 38.</w:t>
            </w:r>
            <w:r w:rsidR="00967013">
              <w:rPr>
                <w:rFonts w:eastAsia="Symbol"/>
                <w:sz w:val="18"/>
              </w:rPr>
              <w:t>828</w:t>
            </w:r>
            <w:r w:rsidRPr="002B6DA7">
              <w:rPr>
                <w:rFonts w:eastAsia="Symbol"/>
                <w:sz w:val="18"/>
              </w:rPr>
              <w:t xml:space="preserve"> UMa</w:t>
            </w:r>
          </w:p>
          <w:p w14:paraId="32FD03BC" w14:textId="77777777" w:rsidR="003E17EC" w:rsidRPr="002B6DA7" w:rsidRDefault="003E17EC" w:rsidP="00591CED">
            <w:pPr>
              <w:keepNext/>
              <w:keepLines/>
              <w:spacing w:after="0"/>
              <w:contextualSpacing/>
              <w:rPr>
                <w:rFonts w:eastAsia="Symbol"/>
                <w:sz w:val="18"/>
              </w:rPr>
            </w:pPr>
          </w:p>
          <w:p w14:paraId="2F8518F1" w14:textId="259BE19C" w:rsidR="003E17EC" w:rsidRPr="002B6DA7" w:rsidRDefault="003E17EC" w:rsidP="00591CED">
            <w:pPr>
              <w:keepNext/>
              <w:keepLines/>
              <w:spacing w:after="0"/>
              <w:contextualSpacing/>
              <w:rPr>
                <w:rFonts w:eastAsia="Symbol"/>
                <w:sz w:val="18"/>
              </w:rPr>
            </w:pPr>
            <w:r w:rsidRPr="002B6DA7">
              <w:rPr>
                <w:rFonts w:eastAsia="Symbol"/>
                <w:sz w:val="18"/>
              </w:rPr>
              <w:t>gNB-gNB: TR 38.</w:t>
            </w:r>
            <w:r w:rsidR="00967013">
              <w:rPr>
                <w:rFonts w:eastAsia="Symbol"/>
                <w:sz w:val="18"/>
              </w:rPr>
              <w:t>828</w:t>
            </w:r>
            <w:r w:rsidRPr="002B6DA7">
              <w:rPr>
                <w:rFonts w:eastAsia="Symbol"/>
                <w:sz w:val="18"/>
              </w:rPr>
              <w:t xml:space="preserve"> UMa. </w:t>
            </w:r>
            <w:r w:rsidR="00954170">
              <w:rPr>
                <w:rFonts w:eastAsia="Symbol"/>
                <w:sz w:val="18"/>
              </w:rPr>
              <w:t xml:space="preserve">Fixed </w:t>
            </w:r>
            <w:r w:rsidRPr="002B6DA7">
              <w:rPr>
                <w:rFonts w:eastAsia="Symbol"/>
                <w:sz w:val="18"/>
              </w:rPr>
              <w:t>75% of LOS probability for gNBs within ISD distance</w:t>
            </w:r>
          </w:p>
          <w:p w14:paraId="201AA0A2" w14:textId="77777777" w:rsidR="003E17EC" w:rsidRPr="002B6DA7" w:rsidRDefault="003E17EC" w:rsidP="00591CED">
            <w:pPr>
              <w:keepNext/>
              <w:keepLines/>
              <w:spacing w:after="0"/>
              <w:contextualSpacing/>
              <w:rPr>
                <w:rFonts w:eastAsia="Symbol"/>
                <w:sz w:val="18"/>
              </w:rPr>
            </w:pPr>
          </w:p>
          <w:p w14:paraId="7768FFA5" w14:textId="0407EDAA" w:rsidR="003E17EC" w:rsidRPr="002B6DA7" w:rsidRDefault="003E17EC" w:rsidP="00591CED">
            <w:pPr>
              <w:keepNext/>
              <w:keepLines/>
              <w:spacing w:after="0"/>
              <w:contextualSpacing/>
              <w:rPr>
                <w:rFonts w:eastAsia="Symbol"/>
                <w:sz w:val="18"/>
              </w:rPr>
            </w:pPr>
            <w:r w:rsidRPr="002B6DA7">
              <w:rPr>
                <w:rFonts w:eastAsia="Symbol"/>
                <w:sz w:val="18"/>
              </w:rPr>
              <w:t>UE-UE: TR 38</w:t>
            </w:r>
            <w:r w:rsidR="00F43734">
              <w:rPr>
                <w:rFonts w:eastAsia="Symbol"/>
                <w:sz w:val="18"/>
              </w:rPr>
              <w:t>.828</w:t>
            </w:r>
            <w:r w:rsidRPr="002B6DA7">
              <w:rPr>
                <w:rFonts w:eastAsia="Symbol"/>
                <w:sz w:val="18"/>
              </w:rPr>
              <w:t xml:space="preserve"> UMi </w:t>
            </w:r>
            <w:r w:rsidR="00345106">
              <w:rPr>
                <w:rFonts w:eastAsia="Symbol"/>
                <w:sz w:val="18"/>
              </w:rPr>
              <w:t xml:space="preserve">+ penetration losses </w:t>
            </w:r>
            <w:r w:rsidR="00907F96">
              <w:rPr>
                <w:rFonts w:eastAsia="Symbol"/>
                <w:sz w:val="18"/>
              </w:rPr>
              <w:t>from TR 38.803</w:t>
            </w:r>
          </w:p>
        </w:tc>
      </w:tr>
      <w:tr w:rsidR="007D2D84" w:rsidRPr="002B6DA7" w14:paraId="119DA555" w14:textId="77777777" w:rsidTr="00591CED">
        <w:trPr>
          <w:trHeight w:val="8"/>
          <w:jc w:val="center"/>
        </w:trPr>
        <w:tc>
          <w:tcPr>
            <w:tcW w:w="2408" w:type="dxa"/>
            <w:tcBorders>
              <w:top w:val="single" w:sz="4" w:space="0" w:color="auto"/>
              <w:left w:val="single" w:sz="4" w:space="0" w:color="auto"/>
              <w:bottom w:val="single" w:sz="4" w:space="0" w:color="auto"/>
              <w:right w:val="single" w:sz="4" w:space="0" w:color="auto"/>
            </w:tcBorders>
          </w:tcPr>
          <w:p w14:paraId="3C893E8B" w14:textId="65873E42" w:rsidR="007D2D84" w:rsidRPr="002B6DA7" w:rsidRDefault="007831A6" w:rsidP="007D2D84">
            <w:pPr>
              <w:keepNext/>
              <w:keepLines/>
              <w:spacing w:after="0"/>
              <w:contextualSpacing/>
              <w:rPr>
                <w:rFonts w:eastAsia="Symbol"/>
                <w:sz w:val="18"/>
                <w:lang w:eastAsia="ja-JP"/>
              </w:rPr>
            </w:pPr>
            <w:r>
              <w:rPr>
                <w:rFonts w:eastAsia="Symbol"/>
                <w:sz w:val="18"/>
              </w:rPr>
              <w:t>Base station</w:t>
            </w:r>
          </w:p>
        </w:tc>
        <w:tc>
          <w:tcPr>
            <w:tcW w:w="7171" w:type="dxa"/>
            <w:tcBorders>
              <w:top w:val="single" w:sz="4" w:space="0" w:color="auto"/>
              <w:left w:val="single" w:sz="4" w:space="0" w:color="auto"/>
              <w:bottom w:val="single" w:sz="4" w:space="0" w:color="auto"/>
              <w:right w:val="single" w:sz="4" w:space="0" w:color="auto"/>
            </w:tcBorders>
          </w:tcPr>
          <w:p w14:paraId="32E19644" w14:textId="77777777" w:rsidR="0032510D" w:rsidRDefault="0032510D" w:rsidP="00591CED">
            <w:pPr>
              <w:keepNext/>
              <w:keepLines/>
              <w:spacing w:after="0"/>
              <w:contextualSpacing/>
              <w:rPr>
                <w:rFonts w:eastAsia="Symbol"/>
                <w:sz w:val="18"/>
              </w:rPr>
            </w:pPr>
            <w:r>
              <w:rPr>
                <w:rFonts w:eastAsia="Symbol"/>
                <w:sz w:val="18"/>
              </w:rPr>
              <w:t>BS height = 25m</w:t>
            </w:r>
          </w:p>
          <w:p w14:paraId="3EABA6F3" w14:textId="7D655101" w:rsidR="007D2D84" w:rsidRDefault="00B10CC7" w:rsidP="00591CED">
            <w:pPr>
              <w:keepNext/>
              <w:keepLines/>
              <w:spacing w:after="0"/>
              <w:contextualSpacing/>
              <w:rPr>
                <w:rFonts w:eastAsia="Symbol"/>
                <w:sz w:val="18"/>
              </w:rPr>
            </w:pPr>
            <w:r>
              <w:rPr>
                <w:rFonts w:eastAsia="Symbol"/>
                <w:sz w:val="18"/>
              </w:rPr>
              <w:t>Max. t</w:t>
            </w:r>
            <w:r w:rsidR="007831A6">
              <w:rPr>
                <w:rFonts w:eastAsia="Symbol"/>
                <w:sz w:val="18"/>
              </w:rPr>
              <w:t xml:space="preserve">ransmit power </w:t>
            </w:r>
            <w:r>
              <w:rPr>
                <w:rFonts w:eastAsia="Symbol"/>
                <w:sz w:val="18"/>
              </w:rPr>
              <w:t xml:space="preserve">per polarization </w:t>
            </w:r>
            <w:r w:rsidR="007831A6">
              <w:rPr>
                <w:rFonts w:eastAsia="Symbol"/>
                <w:sz w:val="18"/>
              </w:rPr>
              <w:t xml:space="preserve">= </w:t>
            </w:r>
            <w:r>
              <w:rPr>
                <w:rFonts w:eastAsia="Symbol"/>
                <w:sz w:val="18"/>
              </w:rPr>
              <w:t>49</w:t>
            </w:r>
            <w:r w:rsidR="007D2D84" w:rsidRPr="002B6DA7">
              <w:rPr>
                <w:rFonts w:eastAsia="Symbol"/>
                <w:sz w:val="18"/>
              </w:rPr>
              <w:t xml:space="preserve"> dBm</w:t>
            </w:r>
          </w:p>
          <w:p w14:paraId="29572DD1" w14:textId="04CAA5F1" w:rsidR="00CB4028" w:rsidRDefault="0094504C" w:rsidP="00591CED">
            <w:pPr>
              <w:keepNext/>
              <w:keepLines/>
              <w:spacing w:after="0"/>
              <w:contextualSpacing/>
              <w:rPr>
                <w:rFonts w:eastAsia="Symbol"/>
                <w:sz w:val="18"/>
              </w:rPr>
            </w:pPr>
            <w:r>
              <w:rPr>
                <w:rFonts w:eastAsia="Symbol"/>
                <w:sz w:val="18"/>
              </w:rPr>
              <w:t>Antenna configuration in TDD =</w:t>
            </w:r>
            <w:r w:rsidR="00DF3812">
              <w:rPr>
                <w:rFonts w:eastAsia="Symbol"/>
                <w:sz w:val="18"/>
              </w:rPr>
              <w:t xml:space="preserve"> </w:t>
            </w:r>
            <w:r w:rsidR="004F42B6" w:rsidRPr="004F42B6">
              <w:rPr>
                <w:rFonts w:eastAsia="Symbol"/>
                <w:sz w:val="18"/>
              </w:rPr>
              <w:t>(Mg,Ng,M,N,P)=(1,1,8,8,2) (dH,dV)=(0.5,0.8)λ</w:t>
            </w:r>
          </w:p>
          <w:p w14:paraId="7E342EBA" w14:textId="4CD47F1F" w:rsidR="0094504C" w:rsidRDefault="0094504C" w:rsidP="00591CED">
            <w:pPr>
              <w:keepNext/>
              <w:keepLines/>
              <w:spacing w:after="0"/>
              <w:contextualSpacing/>
              <w:rPr>
                <w:rFonts w:eastAsia="Symbol"/>
                <w:sz w:val="18"/>
              </w:rPr>
            </w:pPr>
            <w:r>
              <w:rPr>
                <w:rFonts w:eastAsia="Symbol"/>
                <w:sz w:val="18"/>
              </w:rPr>
              <w:t xml:space="preserve">Antenna configuration in SBFD (same gain) = </w:t>
            </w:r>
            <w:r w:rsidR="004F42B6" w:rsidRPr="004F42B6">
              <w:rPr>
                <w:rFonts w:eastAsia="Symbol"/>
                <w:sz w:val="18"/>
              </w:rPr>
              <w:t>(Mg,Ng,M,N,P)=(1,1,8,8,2) (dH,dV)=(0.5,0.8)λ</w:t>
            </w:r>
          </w:p>
          <w:p w14:paraId="576212B9" w14:textId="1B48E187" w:rsidR="0094504C" w:rsidRDefault="0094504C" w:rsidP="00591CED">
            <w:pPr>
              <w:keepNext/>
              <w:keepLines/>
              <w:spacing w:after="0"/>
              <w:contextualSpacing/>
              <w:rPr>
                <w:rFonts w:eastAsia="Symbol"/>
                <w:sz w:val="18"/>
              </w:rPr>
            </w:pPr>
            <w:r>
              <w:rPr>
                <w:rFonts w:eastAsia="Symbol"/>
                <w:sz w:val="18"/>
              </w:rPr>
              <w:t xml:space="preserve">Transmit power </w:t>
            </w:r>
            <w:r w:rsidR="00C22A1C">
              <w:rPr>
                <w:rFonts w:eastAsia="Symbol"/>
                <w:sz w:val="18"/>
              </w:rPr>
              <w:t>in SBFD = same PSD as TDD</w:t>
            </w:r>
            <w:r w:rsidR="00694D4A">
              <w:rPr>
                <w:rFonts w:eastAsia="Symbol"/>
                <w:sz w:val="18"/>
              </w:rPr>
              <w:t xml:space="preserve"> (Option 1)</w:t>
            </w:r>
          </w:p>
          <w:p w14:paraId="6755FE75" w14:textId="77777777" w:rsidR="00954170" w:rsidRDefault="00954170" w:rsidP="00591CED">
            <w:pPr>
              <w:keepNext/>
              <w:keepLines/>
              <w:spacing w:after="0"/>
              <w:contextualSpacing/>
              <w:rPr>
                <w:rFonts w:eastAsia="Symbol"/>
                <w:sz w:val="18"/>
              </w:rPr>
            </w:pPr>
            <w:r>
              <w:rPr>
                <w:rFonts w:eastAsia="Symbol"/>
                <w:sz w:val="18"/>
              </w:rPr>
              <w:t>Noise figure = 5 dB constant for TDD and piece-wise model for SBFD</w:t>
            </w:r>
          </w:p>
          <w:p w14:paraId="78312D24" w14:textId="2536B432" w:rsidR="007831A6" w:rsidRPr="002B6DA7" w:rsidRDefault="007831A6" w:rsidP="00591CED">
            <w:pPr>
              <w:keepNext/>
              <w:keepLines/>
              <w:spacing w:after="0"/>
              <w:contextualSpacing/>
              <w:rPr>
                <w:rFonts w:eastAsia="Symbol"/>
                <w:sz w:val="18"/>
                <w:lang w:eastAsia="zh-CN"/>
              </w:rPr>
            </w:pPr>
          </w:p>
        </w:tc>
      </w:tr>
      <w:tr w:rsidR="00C102AF" w:rsidRPr="002B6DA7" w14:paraId="7FEF91BB"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0A42194B" w14:textId="2D7CAA04" w:rsidR="00C102AF" w:rsidRPr="002B6DA7" w:rsidRDefault="00C102AF" w:rsidP="00C102AF">
            <w:pPr>
              <w:keepNext/>
              <w:keepLines/>
              <w:spacing w:after="0"/>
              <w:contextualSpacing/>
              <w:rPr>
                <w:rFonts w:eastAsia="Symbol"/>
                <w:sz w:val="18"/>
                <w:szCs w:val="18"/>
              </w:rPr>
            </w:pPr>
            <w:r>
              <w:rPr>
                <w:rFonts w:eastAsia="Symbol"/>
                <w:sz w:val="18"/>
                <w:lang w:eastAsia="zh-CN"/>
              </w:rPr>
              <w:t>Scheduling</w:t>
            </w:r>
          </w:p>
        </w:tc>
        <w:tc>
          <w:tcPr>
            <w:tcW w:w="7171" w:type="dxa"/>
            <w:tcBorders>
              <w:top w:val="single" w:sz="4" w:space="0" w:color="auto"/>
              <w:left w:val="single" w:sz="4" w:space="0" w:color="auto"/>
              <w:bottom w:val="single" w:sz="4" w:space="0" w:color="auto"/>
              <w:right w:val="single" w:sz="4" w:space="0" w:color="auto"/>
            </w:tcBorders>
          </w:tcPr>
          <w:p w14:paraId="24D0F910" w14:textId="229337C4" w:rsidR="00C102AF" w:rsidRPr="002B6DA7" w:rsidRDefault="00C102AF" w:rsidP="00591CED">
            <w:pPr>
              <w:spacing w:after="0"/>
              <w:rPr>
                <w:sz w:val="18"/>
                <w:szCs w:val="18"/>
              </w:rPr>
            </w:pPr>
            <w:r>
              <w:rPr>
                <w:rFonts w:eastAsia="Symbol"/>
                <w:sz w:val="18"/>
                <w:lang w:eastAsia="zh-CN"/>
              </w:rPr>
              <w:t>1 UE per link direction</w:t>
            </w:r>
          </w:p>
        </w:tc>
      </w:tr>
      <w:tr w:rsidR="000A68D9" w:rsidRPr="002B6DA7" w14:paraId="6314ADC1"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0FA2B611" w14:textId="5D8569BB" w:rsidR="000A68D9" w:rsidRPr="002B6DA7" w:rsidRDefault="00CB505D">
            <w:pPr>
              <w:keepNext/>
              <w:keepLines/>
              <w:spacing w:after="0"/>
              <w:contextualSpacing/>
              <w:rPr>
                <w:rFonts w:eastAsia="Symbol"/>
                <w:sz w:val="18"/>
                <w:szCs w:val="18"/>
              </w:rPr>
            </w:pPr>
            <w:r>
              <w:rPr>
                <w:rFonts w:eastAsia="Symbol"/>
                <w:sz w:val="18"/>
                <w:szCs w:val="18"/>
              </w:rPr>
              <w:t>Number of UEs</w:t>
            </w:r>
          </w:p>
        </w:tc>
        <w:tc>
          <w:tcPr>
            <w:tcW w:w="7171" w:type="dxa"/>
            <w:tcBorders>
              <w:top w:val="single" w:sz="4" w:space="0" w:color="auto"/>
              <w:left w:val="single" w:sz="4" w:space="0" w:color="auto"/>
              <w:bottom w:val="single" w:sz="4" w:space="0" w:color="auto"/>
              <w:right w:val="single" w:sz="4" w:space="0" w:color="auto"/>
            </w:tcBorders>
          </w:tcPr>
          <w:p w14:paraId="79DE6003" w14:textId="77777777" w:rsidR="000A68D9" w:rsidRDefault="00CB505D" w:rsidP="00591CED">
            <w:pPr>
              <w:spacing w:after="0"/>
              <w:rPr>
                <w:sz w:val="18"/>
                <w:szCs w:val="18"/>
              </w:rPr>
            </w:pPr>
            <w:r>
              <w:rPr>
                <w:sz w:val="18"/>
                <w:szCs w:val="18"/>
              </w:rPr>
              <w:t>TDD = 57 UEs in total</w:t>
            </w:r>
          </w:p>
          <w:p w14:paraId="702F5675" w14:textId="3EFFE366" w:rsidR="00CB505D" w:rsidRPr="002B6DA7" w:rsidRDefault="00CB505D" w:rsidP="00591CED">
            <w:pPr>
              <w:spacing w:after="0"/>
              <w:rPr>
                <w:sz w:val="18"/>
                <w:szCs w:val="18"/>
              </w:rPr>
            </w:pPr>
            <w:r>
              <w:rPr>
                <w:sz w:val="18"/>
                <w:szCs w:val="18"/>
              </w:rPr>
              <w:t>SBFD = 114 UEs in total</w:t>
            </w:r>
          </w:p>
        </w:tc>
      </w:tr>
      <w:tr w:rsidR="000A68D9" w:rsidRPr="002B6DA7" w14:paraId="654D1A0E"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5C2FE2E7" w14:textId="47C35A3D" w:rsidR="000A68D9" w:rsidRPr="002B6DA7" w:rsidRDefault="000A68D9" w:rsidP="000A68D9">
            <w:pPr>
              <w:keepNext/>
              <w:keepLines/>
              <w:spacing w:after="0"/>
              <w:contextualSpacing/>
              <w:rPr>
                <w:rFonts w:eastAsia="Symbol"/>
                <w:sz w:val="18"/>
                <w:szCs w:val="18"/>
              </w:rPr>
            </w:pPr>
            <w:r w:rsidRPr="002B6DA7">
              <w:rPr>
                <w:rFonts w:eastAsia="Symbol"/>
                <w:sz w:val="18"/>
                <w:lang w:eastAsia="ja-JP"/>
              </w:rPr>
              <w:t>UE antenna configuration</w:t>
            </w:r>
          </w:p>
        </w:tc>
        <w:tc>
          <w:tcPr>
            <w:tcW w:w="7171" w:type="dxa"/>
            <w:tcBorders>
              <w:top w:val="single" w:sz="4" w:space="0" w:color="auto"/>
              <w:left w:val="single" w:sz="4" w:space="0" w:color="auto"/>
              <w:bottom w:val="single" w:sz="4" w:space="0" w:color="auto"/>
              <w:right w:val="single" w:sz="4" w:space="0" w:color="auto"/>
            </w:tcBorders>
          </w:tcPr>
          <w:p w14:paraId="3420B1AD" w14:textId="4C33174B" w:rsidR="000A68D9" w:rsidRPr="002B6DA7" w:rsidRDefault="000A68D9" w:rsidP="00591CED">
            <w:pPr>
              <w:spacing w:after="0"/>
              <w:rPr>
                <w:sz w:val="18"/>
                <w:szCs w:val="18"/>
              </w:rPr>
            </w:pPr>
            <w:r>
              <w:rPr>
                <w:rFonts w:eastAsia="Symbol"/>
                <w:sz w:val="18"/>
                <w:lang w:eastAsia="zh-CN"/>
              </w:rPr>
              <w:t>1 Tx/</w:t>
            </w:r>
            <w:r w:rsidR="000A3DCF">
              <w:rPr>
                <w:rFonts w:eastAsia="Symbol"/>
                <w:sz w:val="18"/>
                <w:lang w:eastAsia="zh-CN"/>
              </w:rPr>
              <w:t>1</w:t>
            </w:r>
            <w:r>
              <w:rPr>
                <w:rFonts w:eastAsia="Symbol"/>
                <w:sz w:val="18"/>
                <w:lang w:eastAsia="zh-CN"/>
              </w:rPr>
              <w:t xml:space="preserve">Rx </w:t>
            </w:r>
            <w:r w:rsidR="000A3DCF">
              <w:rPr>
                <w:rFonts w:eastAsia="Symbol"/>
                <w:sz w:val="18"/>
                <w:lang w:eastAsia="zh-CN"/>
              </w:rPr>
              <w:t>– Isotropic antenna</w:t>
            </w:r>
          </w:p>
        </w:tc>
      </w:tr>
      <w:tr w:rsidR="000A68D9" w:rsidRPr="002B6DA7" w14:paraId="354D72EC"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34EF2097" w14:textId="69CF9913" w:rsidR="000A68D9" w:rsidRPr="002B6DA7" w:rsidRDefault="000A68D9" w:rsidP="000A68D9">
            <w:pPr>
              <w:keepNext/>
              <w:keepLines/>
              <w:spacing w:after="0"/>
              <w:contextualSpacing/>
              <w:rPr>
                <w:rFonts w:eastAsia="Symbol"/>
                <w:sz w:val="18"/>
                <w:szCs w:val="18"/>
              </w:rPr>
            </w:pPr>
            <w:r w:rsidRPr="002B6DA7">
              <w:rPr>
                <w:rFonts w:eastAsia="Symbol"/>
                <w:sz w:val="18"/>
              </w:rPr>
              <w:t>UE</w:t>
            </w:r>
            <w:r>
              <w:rPr>
                <w:rFonts w:eastAsia="Symbol"/>
                <w:sz w:val="18"/>
              </w:rPr>
              <w:t xml:space="preserve"> positions and outdoor/indoor ratio</w:t>
            </w:r>
          </w:p>
        </w:tc>
        <w:tc>
          <w:tcPr>
            <w:tcW w:w="7171" w:type="dxa"/>
            <w:tcBorders>
              <w:top w:val="single" w:sz="4" w:space="0" w:color="auto"/>
              <w:left w:val="single" w:sz="4" w:space="0" w:color="auto"/>
              <w:bottom w:val="single" w:sz="4" w:space="0" w:color="auto"/>
              <w:right w:val="single" w:sz="4" w:space="0" w:color="auto"/>
            </w:tcBorders>
          </w:tcPr>
          <w:p w14:paraId="5C306B8E" w14:textId="77777777" w:rsidR="000A68D9" w:rsidRDefault="000A68D9" w:rsidP="00591CED">
            <w:pPr>
              <w:spacing w:after="0"/>
              <w:rPr>
                <w:rFonts w:eastAsia="Symbol"/>
                <w:sz w:val="18"/>
              </w:rPr>
            </w:pPr>
            <w:r>
              <w:rPr>
                <w:rFonts w:eastAsia="Symbol"/>
                <w:sz w:val="18"/>
              </w:rPr>
              <w:t>Urban macro = uniformly distributed around the macro cell area. Outdoor:indoor ratio = 80:20</w:t>
            </w:r>
          </w:p>
          <w:p w14:paraId="54C21932" w14:textId="489B17E1" w:rsidR="000A68D9" w:rsidRPr="002B6DA7" w:rsidRDefault="000A68D9" w:rsidP="00591CED">
            <w:pPr>
              <w:spacing w:after="0"/>
              <w:rPr>
                <w:sz w:val="18"/>
                <w:szCs w:val="18"/>
              </w:rPr>
            </w:pPr>
            <w:r>
              <w:rPr>
                <w:rFonts w:eastAsia="Symbol"/>
                <w:sz w:val="18"/>
              </w:rPr>
              <w:t>Urban hotspot = 1 cluster per macro cell area with cluster radius of 25 meters. Outdoor:indoor ratio = 20:80. Victim and aggressor share the same cluster</w:t>
            </w:r>
          </w:p>
        </w:tc>
      </w:tr>
      <w:tr w:rsidR="00D9402D" w:rsidRPr="002B6DA7" w14:paraId="0F9FE43D"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4E7CC185" w14:textId="68444E97" w:rsidR="00D9402D" w:rsidRDefault="00D9402D" w:rsidP="00D9402D">
            <w:pPr>
              <w:keepNext/>
              <w:keepLines/>
              <w:spacing w:after="0"/>
              <w:contextualSpacing/>
              <w:rPr>
                <w:rFonts w:eastAsia="Symbol"/>
                <w:sz w:val="18"/>
                <w:szCs w:val="18"/>
              </w:rPr>
            </w:pPr>
            <w:r w:rsidRPr="002B6DA7">
              <w:rPr>
                <w:rFonts w:eastAsia="Symbol"/>
                <w:sz w:val="18"/>
              </w:rPr>
              <w:t>UE Tx power</w:t>
            </w:r>
            <w:r w:rsidR="004E3528">
              <w:rPr>
                <w:rFonts w:eastAsia="Symbol"/>
                <w:sz w:val="18"/>
              </w:rPr>
              <w:t xml:space="preserve"> &amp; noise figure</w:t>
            </w:r>
          </w:p>
        </w:tc>
        <w:tc>
          <w:tcPr>
            <w:tcW w:w="7171" w:type="dxa"/>
            <w:tcBorders>
              <w:top w:val="single" w:sz="4" w:space="0" w:color="auto"/>
              <w:left w:val="single" w:sz="4" w:space="0" w:color="auto"/>
              <w:bottom w:val="single" w:sz="4" w:space="0" w:color="auto"/>
              <w:right w:val="single" w:sz="4" w:space="0" w:color="auto"/>
            </w:tcBorders>
          </w:tcPr>
          <w:p w14:paraId="2318F5F1" w14:textId="598725F8" w:rsidR="00D9402D" w:rsidRDefault="00D9402D" w:rsidP="00591CED">
            <w:pPr>
              <w:spacing w:after="0"/>
              <w:rPr>
                <w:sz w:val="18"/>
                <w:szCs w:val="18"/>
              </w:rPr>
            </w:pPr>
            <w:r w:rsidRPr="002B6DA7">
              <w:rPr>
                <w:rFonts w:eastAsia="Symbol"/>
                <w:sz w:val="18"/>
              </w:rPr>
              <w:t>23 dBm</w:t>
            </w:r>
            <w:r w:rsidR="004E3528">
              <w:rPr>
                <w:rFonts w:eastAsia="Symbol"/>
                <w:sz w:val="18"/>
              </w:rPr>
              <w:t xml:space="preserve"> &amp; 9 dB</w:t>
            </w:r>
          </w:p>
        </w:tc>
      </w:tr>
      <w:tr w:rsidR="000A68D9" w:rsidRPr="002B6DA7" w14:paraId="406F59A9" w14:textId="77777777" w:rsidTr="00591CED">
        <w:trPr>
          <w:trHeight w:val="463"/>
          <w:jc w:val="center"/>
        </w:trPr>
        <w:tc>
          <w:tcPr>
            <w:tcW w:w="2408" w:type="dxa"/>
            <w:tcBorders>
              <w:top w:val="single" w:sz="4" w:space="0" w:color="auto"/>
              <w:left w:val="single" w:sz="4" w:space="0" w:color="auto"/>
              <w:bottom w:val="single" w:sz="4" w:space="0" w:color="auto"/>
              <w:right w:val="single" w:sz="4" w:space="0" w:color="auto"/>
            </w:tcBorders>
          </w:tcPr>
          <w:p w14:paraId="59DE3938" w14:textId="5BD8857C" w:rsidR="000A68D9" w:rsidRDefault="000A68D9" w:rsidP="000A68D9">
            <w:pPr>
              <w:keepNext/>
              <w:keepLines/>
              <w:spacing w:after="0"/>
              <w:contextualSpacing/>
              <w:rPr>
                <w:rFonts w:eastAsia="Symbol"/>
                <w:sz w:val="18"/>
                <w:szCs w:val="18"/>
              </w:rPr>
            </w:pPr>
            <w:r w:rsidRPr="002B6DA7">
              <w:rPr>
                <w:rFonts w:eastAsia="Symbol"/>
                <w:sz w:val="18"/>
              </w:rPr>
              <w:t>UE power control</w:t>
            </w:r>
          </w:p>
        </w:tc>
        <w:tc>
          <w:tcPr>
            <w:tcW w:w="7171" w:type="dxa"/>
            <w:tcBorders>
              <w:top w:val="single" w:sz="4" w:space="0" w:color="auto"/>
              <w:left w:val="single" w:sz="4" w:space="0" w:color="auto"/>
              <w:bottom w:val="single" w:sz="4" w:space="0" w:color="auto"/>
              <w:right w:val="single" w:sz="4" w:space="0" w:color="auto"/>
            </w:tcBorders>
          </w:tcPr>
          <w:p w14:paraId="3D45F907" w14:textId="1C85C7C1" w:rsidR="000A68D9" w:rsidRDefault="000A68D9" w:rsidP="00591CED">
            <w:pPr>
              <w:spacing w:after="0"/>
              <w:rPr>
                <w:sz w:val="18"/>
                <w:szCs w:val="18"/>
              </w:rPr>
            </w:pPr>
            <w:r>
              <w:rPr>
                <w:rFonts w:eastAsia="Symbol"/>
                <w:sz w:val="18"/>
              </w:rPr>
              <w:t>According to TR 36.942</w:t>
            </w:r>
          </w:p>
        </w:tc>
      </w:tr>
    </w:tbl>
    <w:p w14:paraId="2BBC0271" w14:textId="77777777" w:rsidR="008462FD" w:rsidRPr="008462FD" w:rsidRDefault="008462FD" w:rsidP="004B41D4"/>
    <w:sectPr w:rsidR="008462FD" w:rsidRPr="008462F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CDC4" w14:textId="77777777" w:rsidR="00704DA1" w:rsidRDefault="00704DA1" w:rsidP="00001C9B">
      <w:pPr>
        <w:spacing w:after="0" w:line="240" w:lineRule="auto"/>
      </w:pPr>
      <w:r>
        <w:separator/>
      </w:r>
    </w:p>
  </w:endnote>
  <w:endnote w:type="continuationSeparator" w:id="0">
    <w:p w14:paraId="739329E3" w14:textId="77777777" w:rsidR="00704DA1" w:rsidRDefault="00704DA1" w:rsidP="00001C9B">
      <w:pPr>
        <w:spacing w:after="0" w:line="240" w:lineRule="auto"/>
      </w:pPr>
      <w:r>
        <w:continuationSeparator/>
      </w:r>
    </w:p>
  </w:endnote>
  <w:endnote w:type="continuationNotice" w:id="1">
    <w:p w14:paraId="6D2ADEE7" w14:textId="77777777" w:rsidR="00704DA1" w:rsidRDefault="00704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3C99" w14:textId="77777777" w:rsidR="00704DA1" w:rsidRDefault="00704DA1" w:rsidP="00001C9B">
      <w:pPr>
        <w:spacing w:after="0" w:line="240" w:lineRule="auto"/>
      </w:pPr>
      <w:r>
        <w:separator/>
      </w:r>
    </w:p>
  </w:footnote>
  <w:footnote w:type="continuationSeparator" w:id="0">
    <w:p w14:paraId="42C7E246" w14:textId="77777777" w:rsidR="00704DA1" w:rsidRDefault="00704DA1" w:rsidP="00001C9B">
      <w:pPr>
        <w:spacing w:after="0" w:line="240" w:lineRule="auto"/>
      </w:pPr>
      <w:r>
        <w:continuationSeparator/>
      </w:r>
    </w:p>
  </w:footnote>
  <w:footnote w:type="continuationNotice" w:id="1">
    <w:p w14:paraId="06B6A7B8" w14:textId="77777777" w:rsidR="00704DA1" w:rsidRDefault="00704D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3E87"/>
    <w:multiLevelType w:val="multilevel"/>
    <w:tmpl w:val="AED6D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5"/>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7030EC"/>
    <w:multiLevelType w:val="multilevel"/>
    <w:tmpl w:val="09B8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D95331"/>
    <w:multiLevelType w:val="multilevel"/>
    <w:tmpl w:val="8C8407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80DA6"/>
    <w:multiLevelType w:val="hybridMultilevel"/>
    <w:tmpl w:val="2DEE61BE"/>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65D21"/>
    <w:multiLevelType w:val="multilevel"/>
    <w:tmpl w:val="0626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4344D8"/>
    <w:multiLevelType w:val="hybridMultilevel"/>
    <w:tmpl w:val="2DEE61BE"/>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1C2A76"/>
    <w:multiLevelType w:val="hybridMultilevel"/>
    <w:tmpl w:val="65FCC9B4"/>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29D67EE2"/>
    <w:lvl w:ilvl="0" w:tplc="CB16963E">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6153C"/>
    <w:multiLevelType w:val="hybridMultilevel"/>
    <w:tmpl w:val="03C4D01E"/>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1B499E"/>
    <w:multiLevelType w:val="hybridMultilevel"/>
    <w:tmpl w:val="0068D60E"/>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F61293"/>
    <w:multiLevelType w:val="hybridMultilevel"/>
    <w:tmpl w:val="F4983122"/>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944827"/>
    <w:multiLevelType w:val="multilevel"/>
    <w:tmpl w:val="81CE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6"/>
  </w:num>
  <w:num w:numId="4" w16cid:durableId="517735681">
    <w:abstractNumId w:val="7"/>
  </w:num>
  <w:num w:numId="5" w16cid:durableId="1142041724">
    <w:abstractNumId w:val="20"/>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8"/>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930814771">
    <w:abstractNumId w:val="0"/>
  </w:num>
  <w:num w:numId="28" w16cid:durableId="530917166">
    <w:abstractNumId w:val="23"/>
  </w:num>
  <w:num w:numId="29" w16cid:durableId="6903821">
    <w:abstractNumId w:val="10"/>
  </w:num>
  <w:num w:numId="30" w16cid:durableId="1043672417">
    <w:abstractNumId w:val="5"/>
  </w:num>
  <w:num w:numId="31" w16cid:durableId="434983891">
    <w:abstractNumId w:val="4"/>
  </w:num>
  <w:num w:numId="32" w16cid:durableId="541670565">
    <w:abstractNumId w:val="12"/>
  </w:num>
  <w:num w:numId="33" w16cid:durableId="596131772">
    <w:abstractNumId w:val="11"/>
  </w:num>
  <w:num w:numId="34" w16cid:durableId="821655078">
    <w:abstractNumId w:val="21"/>
  </w:num>
  <w:num w:numId="35" w16cid:durableId="1474712773">
    <w:abstractNumId w:val="17"/>
  </w:num>
  <w:num w:numId="36" w16cid:durableId="1367215915">
    <w:abstractNumId w:val="22"/>
  </w:num>
  <w:num w:numId="37" w16cid:durableId="15766960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07BCD"/>
    <w:rsid w:val="00001C9B"/>
    <w:rsid w:val="000040DC"/>
    <w:rsid w:val="00007DE1"/>
    <w:rsid w:val="00007DFE"/>
    <w:rsid w:val="00011348"/>
    <w:rsid w:val="00011784"/>
    <w:rsid w:val="000151EF"/>
    <w:rsid w:val="000203B8"/>
    <w:rsid w:val="000239F5"/>
    <w:rsid w:val="0004236B"/>
    <w:rsid w:val="0005233B"/>
    <w:rsid w:val="000543A8"/>
    <w:rsid w:val="00063C58"/>
    <w:rsid w:val="000647B6"/>
    <w:rsid w:val="00084BD9"/>
    <w:rsid w:val="0008612A"/>
    <w:rsid w:val="00086621"/>
    <w:rsid w:val="00090E18"/>
    <w:rsid w:val="00093335"/>
    <w:rsid w:val="00096652"/>
    <w:rsid w:val="00097A2C"/>
    <w:rsid w:val="000A0AE2"/>
    <w:rsid w:val="000A10BC"/>
    <w:rsid w:val="000A26C3"/>
    <w:rsid w:val="000A3DCF"/>
    <w:rsid w:val="000A402F"/>
    <w:rsid w:val="000A68D9"/>
    <w:rsid w:val="000B0056"/>
    <w:rsid w:val="000C0829"/>
    <w:rsid w:val="000C3C7B"/>
    <w:rsid w:val="000C48E4"/>
    <w:rsid w:val="000C5F26"/>
    <w:rsid w:val="000D0F93"/>
    <w:rsid w:val="000D7AA4"/>
    <w:rsid w:val="000F34D9"/>
    <w:rsid w:val="000F4FAE"/>
    <w:rsid w:val="000F6354"/>
    <w:rsid w:val="00102501"/>
    <w:rsid w:val="00105AF8"/>
    <w:rsid w:val="00105C88"/>
    <w:rsid w:val="00106416"/>
    <w:rsid w:val="00107617"/>
    <w:rsid w:val="00110481"/>
    <w:rsid w:val="00110CA1"/>
    <w:rsid w:val="00111165"/>
    <w:rsid w:val="00111E2B"/>
    <w:rsid w:val="001127C9"/>
    <w:rsid w:val="00115B88"/>
    <w:rsid w:val="00126739"/>
    <w:rsid w:val="00132F6A"/>
    <w:rsid w:val="00133913"/>
    <w:rsid w:val="00133D35"/>
    <w:rsid w:val="00137C29"/>
    <w:rsid w:val="00140221"/>
    <w:rsid w:val="0014108E"/>
    <w:rsid w:val="00145CCC"/>
    <w:rsid w:val="00145DCB"/>
    <w:rsid w:val="001501E6"/>
    <w:rsid w:val="00151394"/>
    <w:rsid w:val="00151A3D"/>
    <w:rsid w:val="00152C71"/>
    <w:rsid w:val="001553F3"/>
    <w:rsid w:val="00160C41"/>
    <w:rsid w:val="00160FE2"/>
    <w:rsid w:val="00163EFA"/>
    <w:rsid w:val="001642FC"/>
    <w:rsid w:val="0016496B"/>
    <w:rsid w:val="00170739"/>
    <w:rsid w:val="001707ED"/>
    <w:rsid w:val="00171391"/>
    <w:rsid w:val="001743E2"/>
    <w:rsid w:val="001745F8"/>
    <w:rsid w:val="001771C2"/>
    <w:rsid w:val="001838CF"/>
    <w:rsid w:val="001868EE"/>
    <w:rsid w:val="00190F00"/>
    <w:rsid w:val="00193A60"/>
    <w:rsid w:val="001A219D"/>
    <w:rsid w:val="001A3BA4"/>
    <w:rsid w:val="001A6D1F"/>
    <w:rsid w:val="001A74E9"/>
    <w:rsid w:val="001B0A6B"/>
    <w:rsid w:val="001B1CAD"/>
    <w:rsid w:val="001B2FD2"/>
    <w:rsid w:val="001B5456"/>
    <w:rsid w:val="001B6B7C"/>
    <w:rsid w:val="001C4349"/>
    <w:rsid w:val="001C5274"/>
    <w:rsid w:val="001D1ED7"/>
    <w:rsid w:val="001D3FE5"/>
    <w:rsid w:val="001D6A87"/>
    <w:rsid w:val="001E12D6"/>
    <w:rsid w:val="001E30F6"/>
    <w:rsid w:val="001F059B"/>
    <w:rsid w:val="001F3079"/>
    <w:rsid w:val="001F41D9"/>
    <w:rsid w:val="001F5078"/>
    <w:rsid w:val="001F586A"/>
    <w:rsid w:val="00206218"/>
    <w:rsid w:val="002138A3"/>
    <w:rsid w:val="00217EE5"/>
    <w:rsid w:val="00235F5C"/>
    <w:rsid w:val="00243430"/>
    <w:rsid w:val="002462B9"/>
    <w:rsid w:val="002546AD"/>
    <w:rsid w:val="0025761E"/>
    <w:rsid w:val="00257FA3"/>
    <w:rsid w:val="00260113"/>
    <w:rsid w:val="00275A26"/>
    <w:rsid w:val="002776A1"/>
    <w:rsid w:val="00277B56"/>
    <w:rsid w:val="00277F9C"/>
    <w:rsid w:val="00290FE7"/>
    <w:rsid w:val="002A11AD"/>
    <w:rsid w:val="002A134A"/>
    <w:rsid w:val="002A19F5"/>
    <w:rsid w:val="002A4695"/>
    <w:rsid w:val="002B240D"/>
    <w:rsid w:val="002B35AE"/>
    <w:rsid w:val="002B4922"/>
    <w:rsid w:val="002B5417"/>
    <w:rsid w:val="002B64D8"/>
    <w:rsid w:val="002B7B09"/>
    <w:rsid w:val="002C22C3"/>
    <w:rsid w:val="002C2D19"/>
    <w:rsid w:val="002C43C6"/>
    <w:rsid w:val="002C5906"/>
    <w:rsid w:val="002D0254"/>
    <w:rsid w:val="002D10FA"/>
    <w:rsid w:val="002D4C55"/>
    <w:rsid w:val="002E6DED"/>
    <w:rsid w:val="002F0600"/>
    <w:rsid w:val="002F3315"/>
    <w:rsid w:val="0030034F"/>
    <w:rsid w:val="00300956"/>
    <w:rsid w:val="00305850"/>
    <w:rsid w:val="00306F22"/>
    <w:rsid w:val="00315C94"/>
    <w:rsid w:val="0031681D"/>
    <w:rsid w:val="00317187"/>
    <w:rsid w:val="0032217E"/>
    <w:rsid w:val="003230CF"/>
    <w:rsid w:val="00323423"/>
    <w:rsid w:val="0032499A"/>
    <w:rsid w:val="0032510D"/>
    <w:rsid w:val="003317A7"/>
    <w:rsid w:val="00332D17"/>
    <w:rsid w:val="003341F7"/>
    <w:rsid w:val="00345106"/>
    <w:rsid w:val="00347FEC"/>
    <w:rsid w:val="00350D84"/>
    <w:rsid w:val="00354A44"/>
    <w:rsid w:val="00354F51"/>
    <w:rsid w:val="003560C4"/>
    <w:rsid w:val="00356F45"/>
    <w:rsid w:val="00360D21"/>
    <w:rsid w:val="00366B74"/>
    <w:rsid w:val="00367355"/>
    <w:rsid w:val="003755B9"/>
    <w:rsid w:val="003817AF"/>
    <w:rsid w:val="003850C1"/>
    <w:rsid w:val="003A4EF0"/>
    <w:rsid w:val="003A710A"/>
    <w:rsid w:val="003B148B"/>
    <w:rsid w:val="003B2D35"/>
    <w:rsid w:val="003B659E"/>
    <w:rsid w:val="003C1516"/>
    <w:rsid w:val="003C275E"/>
    <w:rsid w:val="003C4FDE"/>
    <w:rsid w:val="003D4CC2"/>
    <w:rsid w:val="003E17EC"/>
    <w:rsid w:val="003E3778"/>
    <w:rsid w:val="003E58DF"/>
    <w:rsid w:val="003E6358"/>
    <w:rsid w:val="003F73A2"/>
    <w:rsid w:val="00404C4C"/>
    <w:rsid w:val="004101E4"/>
    <w:rsid w:val="00410A39"/>
    <w:rsid w:val="0041423F"/>
    <w:rsid w:val="00414F81"/>
    <w:rsid w:val="0041592F"/>
    <w:rsid w:val="0041634B"/>
    <w:rsid w:val="004201DF"/>
    <w:rsid w:val="004300C0"/>
    <w:rsid w:val="00436A0F"/>
    <w:rsid w:val="00437150"/>
    <w:rsid w:val="0043750A"/>
    <w:rsid w:val="00442D3B"/>
    <w:rsid w:val="00452F09"/>
    <w:rsid w:val="00455394"/>
    <w:rsid w:val="00461FDF"/>
    <w:rsid w:val="00471CD6"/>
    <w:rsid w:val="004732E9"/>
    <w:rsid w:val="0047537D"/>
    <w:rsid w:val="004764C6"/>
    <w:rsid w:val="00476C29"/>
    <w:rsid w:val="004778E9"/>
    <w:rsid w:val="0048203C"/>
    <w:rsid w:val="00484284"/>
    <w:rsid w:val="004854BB"/>
    <w:rsid w:val="00494493"/>
    <w:rsid w:val="004953AA"/>
    <w:rsid w:val="00496606"/>
    <w:rsid w:val="00497F07"/>
    <w:rsid w:val="004A32D2"/>
    <w:rsid w:val="004A5275"/>
    <w:rsid w:val="004B11BA"/>
    <w:rsid w:val="004B41D4"/>
    <w:rsid w:val="004C14A9"/>
    <w:rsid w:val="004C79BA"/>
    <w:rsid w:val="004D37B6"/>
    <w:rsid w:val="004E3528"/>
    <w:rsid w:val="004E5E66"/>
    <w:rsid w:val="004E7ADB"/>
    <w:rsid w:val="004F2002"/>
    <w:rsid w:val="004F42B6"/>
    <w:rsid w:val="004F59D1"/>
    <w:rsid w:val="00503ACF"/>
    <w:rsid w:val="00503B4D"/>
    <w:rsid w:val="00504EE9"/>
    <w:rsid w:val="00511870"/>
    <w:rsid w:val="00515855"/>
    <w:rsid w:val="0051790B"/>
    <w:rsid w:val="00521576"/>
    <w:rsid w:val="00522DFB"/>
    <w:rsid w:val="00523172"/>
    <w:rsid w:val="005250E6"/>
    <w:rsid w:val="005312CE"/>
    <w:rsid w:val="00532973"/>
    <w:rsid w:val="00537BD7"/>
    <w:rsid w:val="005411A7"/>
    <w:rsid w:val="005417F7"/>
    <w:rsid w:val="00542D23"/>
    <w:rsid w:val="0054442C"/>
    <w:rsid w:val="00546D9C"/>
    <w:rsid w:val="00550285"/>
    <w:rsid w:val="00550C85"/>
    <w:rsid w:val="00551965"/>
    <w:rsid w:val="00562492"/>
    <w:rsid w:val="00567B7C"/>
    <w:rsid w:val="00572A20"/>
    <w:rsid w:val="005752DB"/>
    <w:rsid w:val="00576955"/>
    <w:rsid w:val="005807C1"/>
    <w:rsid w:val="005836F8"/>
    <w:rsid w:val="005918FA"/>
    <w:rsid w:val="00591CED"/>
    <w:rsid w:val="00592A86"/>
    <w:rsid w:val="005930EB"/>
    <w:rsid w:val="005A0EA9"/>
    <w:rsid w:val="005A2448"/>
    <w:rsid w:val="005A72C6"/>
    <w:rsid w:val="005B4801"/>
    <w:rsid w:val="005B7B03"/>
    <w:rsid w:val="005C23A4"/>
    <w:rsid w:val="005D1CDF"/>
    <w:rsid w:val="005D2BB7"/>
    <w:rsid w:val="005D5C4F"/>
    <w:rsid w:val="005D7913"/>
    <w:rsid w:val="005E1631"/>
    <w:rsid w:val="005E61A8"/>
    <w:rsid w:val="005F3CD6"/>
    <w:rsid w:val="005F6419"/>
    <w:rsid w:val="0060543D"/>
    <w:rsid w:val="006104DD"/>
    <w:rsid w:val="00610E39"/>
    <w:rsid w:val="00612E6C"/>
    <w:rsid w:val="006130B5"/>
    <w:rsid w:val="0061552B"/>
    <w:rsid w:val="0061692F"/>
    <w:rsid w:val="00617400"/>
    <w:rsid w:val="00620188"/>
    <w:rsid w:val="006218C7"/>
    <w:rsid w:val="006227F8"/>
    <w:rsid w:val="00632952"/>
    <w:rsid w:val="00632D29"/>
    <w:rsid w:val="00640167"/>
    <w:rsid w:val="006403B4"/>
    <w:rsid w:val="00641D0E"/>
    <w:rsid w:val="0064334D"/>
    <w:rsid w:val="006449ED"/>
    <w:rsid w:val="00645F1D"/>
    <w:rsid w:val="00656B33"/>
    <w:rsid w:val="0066303E"/>
    <w:rsid w:val="00664950"/>
    <w:rsid w:val="0067186C"/>
    <w:rsid w:val="00674A56"/>
    <w:rsid w:val="00683220"/>
    <w:rsid w:val="00687FA0"/>
    <w:rsid w:val="00694D4A"/>
    <w:rsid w:val="00695C36"/>
    <w:rsid w:val="006A3C11"/>
    <w:rsid w:val="006A630F"/>
    <w:rsid w:val="006B1BD7"/>
    <w:rsid w:val="006B3D32"/>
    <w:rsid w:val="006B7010"/>
    <w:rsid w:val="006C3095"/>
    <w:rsid w:val="006C4696"/>
    <w:rsid w:val="006D13F5"/>
    <w:rsid w:val="006D617A"/>
    <w:rsid w:val="006D618F"/>
    <w:rsid w:val="006D6857"/>
    <w:rsid w:val="006E1151"/>
    <w:rsid w:val="006E292C"/>
    <w:rsid w:val="006E2DF8"/>
    <w:rsid w:val="006E4E2B"/>
    <w:rsid w:val="006E6311"/>
    <w:rsid w:val="006E7403"/>
    <w:rsid w:val="006F3754"/>
    <w:rsid w:val="006F4D45"/>
    <w:rsid w:val="006F60E9"/>
    <w:rsid w:val="00700787"/>
    <w:rsid w:val="00703998"/>
    <w:rsid w:val="00704DA1"/>
    <w:rsid w:val="00705041"/>
    <w:rsid w:val="007145FF"/>
    <w:rsid w:val="00715B2A"/>
    <w:rsid w:val="00720F80"/>
    <w:rsid w:val="00726B16"/>
    <w:rsid w:val="00727715"/>
    <w:rsid w:val="007315F4"/>
    <w:rsid w:val="007379AE"/>
    <w:rsid w:val="00743D02"/>
    <w:rsid w:val="007450F1"/>
    <w:rsid w:val="00750DE9"/>
    <w:rsid w:val="00751358"/>
    <w:rsid w:val="00751515"/>
    <w:rsid w:val="00760238"/>
    <w:rsid w:val="007618FD"/>
    <w:rsid w:val="007626B7"/>
    <w:rsid w:val="00764B66"/>
    <w:rsid w:val="00764CF3"/>
    <w:rsid w:val="0076641D"/>
    <w:rsid w:val="007755F9"/>
    <w:rsid w:val="00777BC2"/>
    <w:rsid w:val="00781A54"/>
    <w:rsid w:val="0078212B"/>
    <w:rsid w:val="007831A6"/>
    <w:rsid w:val="00784DF6"/>
    <w:rsid w:val="00785232"/>
    <w:rsid w:val="00792BBC"/>
    <w:rsid w:val="00797673"/>
    <w:rsid w:val="007B11F3"/>
    <w:rsid w:val="007B186C"/>
    <w:rsid w:val="007B4277"/>
    <w:rsid w:val="007C1696"/>
    <w:rsid w:val="007C27D9"/>
    <w:rsid w:val="007C2A48"/>
    <w:rsid w:val="007C3466"/>
    <w:rsid w:val="007C3ED0"/>
    <w:rsid w:val="007C54B2"/>
    <w:rsid w:val="007C5971"/>
    <w:rsid w:val="007D2D84"/>
    <w:rsid w:val="007D2F6B"/>
    <w:rsid w:val="007D31ED"/>
    <w:rsid w:val="007D447F"/>
    <w:rsid w:val="007D7CAB"/>
    <w:rsid w:val="007E2D3A"/>
    <w:rsid w:val="007E3272"/>
    <w:rsid w:val="007E7FCC"/>
    <w:rsid w:val="007F2020"/>
    <w:rsid w:val="007F27C4"/>
    <w:rsid w:val="007F54B9"/>
    <w:rsid w:val="007F5786"/>
    <w:rsid w:val="007F6B5F"/>
    <w:rsid w:val="00801BCE"/>
    <w:rsid w:val="00803026"/>
    <w:rsid w:val="008052BC"/>
    <w:rsid w:val="008056AB"/>
    <w:rsid w:val="00806A76"/>
    <w:rsid w:val="00810ABC"/>
    <w:rsid w:val="00811C9D"/>
    <w:rsid w:val="00812299"/>
    <w:rsid w:val="00816074"/>
    <w:rsid w:val="00816C80"/>
    <w:rsid w:val="00820807"/>
    <w:rsid w:val="00821820"/>
    <w:rsid w:val="00832103"/>
    <w:rsid w:val="00836485"/>
    <w:rsid w:val="00841BCD"/>
    <w:rsid w:val="008450EB"/>
    <w:rsid w:val="008462FD"/>
    <w:rsid w:val="0085064F"/>
    <w:rsid w:val="00851170"/>
    <w:rsid w:val="00851A40"/>
    <w:rsid w:val="00851A8E"/>
    <w:rsid w:val="008523F2"/>
    <w:rsid w:val="0085257B"/>
    <w:rsid w:val="0085365B"/>
    <w:rsid w:val="008548C5"/>
    <w:rsid w:val="00867258"/>
    <w:rsid w:val="008826C1"/>
    <w:rsid w:val="00883DFD"/>
    <w:rsid w:val="00890BDE"/>
    <w:rsid w:val="0089668B"/>
    <w:rsid w:val="0089788A"/>
    <w:rsid w:val="008A154A"/>
    <w:rsid w:val="008A1BF7"/>
    <w:rsid w:val="008A5B0E"/>
    <w:rsid w:val="008A7895"/>
    <w:rsid w:val="008B0961"/>
    <w:rsid w:val="008B31C9"/>
    <w:rsid w:val="008C39F7"/>
    <w:rsid w:val="008C7172"/>
    <w:rsid w:val="008D40B7"/>
    <w:rsid w:val="008D656A"/>
    <w:rsid w:val="008E570B"/>
    <w:rsid w:val="008F2753"/>
    <w:rsid w:val="0090091A"/>
    <w:rsid w:val="00901D9E"/>
    <w:rsid w:val="009042BD"/>
    <w:rsid w:val="00904FE4"/>
    <w:rsid w:val="0090516D"/>
    <w:rsid w:val="00907F96"/>
    <w:rsid w:val="009202C4"/>
    <w:rsid w:val="00921840"/>
    <w:rsid w:val="009221A3"/>
    <w:rsid w:val="00924D0C"/>
    <w:rsid w:val="00931686"/>
    <w:rsid w:val="00936159"/>
    <w:rsid w:val="00940182"/>
    <w:rsid w:val="0094504C"/>
    <w:rsid w:val="0094540E"/>
    <w:rsid w:val="00951EAA"/>
    <w:rsid w:val="00954170"/>
    <w:rsid w:val="00956728"/>
    <w:rsid w:val="00967013"/>
    <w:rsid w:val="00970D7C"/>
    <w:rsid w:val="00971041"/>
    <w:rsid w:val="00974C11"/>
    <w:rsid w:val="00975A5C"/>
    <w:rsid w:val="00977E1D"/>
    <w:rsid w:val="00992914"/>
    <w:rsid w:val="0099320E"/>
    <w:rsid w:val="00994712"/>
    <w:rsid w:val="009A159A"/>
    <w:rsid w:val="009A50B5"/>
    <w:rsid w:val="009A62A2"/>
    <w:rsid w:val="009B0573"/>
    <w:rsid w:val="009B0808"/>
    <w:rsid w:val="009B7B4B"/>
    <w:rsid w:val="009B7C21"/>
    <w:rsid w:val="009C07BA"/>
    <w:rsid w:val="009D4E09"/>
    <w:rsid w:val="009D53FC"/>
    <w:rsid w:val="009D56AE"/>
    <w:rsid w:val="009E3216"/>
    <w:rsid w:val="009E3763"/>
    <w:rsid w:val="009E5814"/>
    <w:rsid w:val="009E5ABA"/>
    <w:rsid w:val="009E7EEC"/>
    <w:rsid w:val="009F0608"/>
    <w:rsid w:val="00A01BB3"/>
    <w:rsid w:val="00A0278C"/>
    <w:rsid w:val="00A03F6C"/>
    <w:rsid w:val="00A04992"/>
    <w:rsid w:val="00A07BCD"/>
    <w:rsid w:val="00A11742"/>
    <w:rsid w:val="00A12633"/>
    <w:rsid w:val="00A14332"/>
    <w:rsid w:val="00A147AA"/>
    <w:rsid w:val="00A14CE4"/>
    <w:rsid w:val="00A157DC"/>
    <w:rsid w:val="00A21D71"/>
    <w:rsid w:val="00A22B78"/>
    <w:rsid w:val="00A23CEB"/>
    <w:rsid w:val="00A25AE5"/>
    <w:rsid w:val="00A33899"/>
    <w:rsid w:val="00A37002"/>
    <w:rsid w:val="00A378D7"/>
    <w:rsid w:val="00A42003"/>
    <w:rsid w:val="00A4355E"/>
    <w:rsid w:val="00A537B3"/>
    <w:rsid w:val="00A6714C"/>
    <w:rsid w:val="00A71733"/>
    <w:rsid w:val="00A7382F"/>
    <w:rsid w:val="00A76129"/>
    <w:rsid w:val="00A7733A"/>
    <w:rsid w:val="00A77D52"/>
    <w:rsid w:val="00A829B1"/>
    <w:rsid w:val="00A92BCD"/>
    <w:rsid w:val="00A9389D"/>
    <w:rsid w:val="00A979C5"/>
    <w:rsid w:val="00AA1B0E"/>
    <w:rsid w:val="00AA47B6"/>
    <w:rsid w:val="00AB04FE"/>
    <w:rsid w:val="00AB13B9"/>
    <w:rsid w:val="00AB5038"/>
    <w:rsid w:val="00AB5788"/>
    <w:rsid w:val="00AC163B"/>
    <w:rsid w:val="00AC27E7"/>
    <w:rsid w:val="00AC5CA7"/>
    <w:rsid w:val="00AC5E5D"/>
    <w:rsid w:val="00AC6058"/>
    <w:rsid w:val="00AD3E3F"/>
    <w:rsid w:val="00AD6E3E"/>
    <w:rsid w:val="00AE0ADB"/>
    <w:rsid w:val="00AE2BA5"/>
    <w:rsid w:val="00AE56B1"/>
    <w:rsid w:val="00AE6D09"/>
    <w:rsid w:val="00AF38AF"/>
    <w:rsid w:val="00AF7A7C"/>
    <w:rsid w:val="00B02070"/>
    <w:rsid w:val="00B106C4"/>
    <w:rsid w:val="00B10CC7"/>
    <w:rsid w:val="00B11229"/>
    <w:rsid w:val="00B14408"/>
    <w:rsid w:val="00B17347"/>
    <w:rsid w:val="00B254EF"/>
    <w:rsid w:val="00B30BDA"/>
    <w:rsid w:val="00B32F07"/>
    <w:rsid w:val="00B3533F"/>
    <w:rsid w:val="00B40094"/>
    <w:rsid w:val="00B408B6"/>
    <w:rsid w:val="00B5203F"/>
    <w:rsid w:val="00B542DA"/>
    <w:rsid w:val="00B5577F"/>
    <w:rsid w:val="00B567B4"/>
    <w:rsid w:val="00B711C5"/>
    <w:rsid w:val="00B731C6"/>
    <w:rsid w:val="00B731C7"/>
    <w:rsid w:val="00B73862"/>
    <w:rsid w:val="00B73F43"/>
    <w:rsid w:val="00B81F3A"/>
    <w:rsid w:val="00B83AB3"/>
    <w:rsid w:val="00B95BF5"/>
    <w:rsid w:val="00B96D23"/>
    <w:rsid w:val="00BA0A12"/>
    <w:rsid w:val="00BA2133"/>
    <w:rsid w:val="00BA6B66"/>
    <w:rsid w:val="00BA6E48"/>
    <w:rsid w:val="00BA7768"/>
    <w:rsid w:val="00BB0EAC"/>
    <w:rsid w:val="00BB7296"/>
    <w:rsid w:val="00BC2E7B"/>
    <w:rsid w:val="00BC3255"/>
    <w:rsid w:val="00BD2CD2"/>
    <w:rsid w:val="00BE0AF6"/>
    <w:rsid w:val="00BE1F03"/>
    <w:rsid w:val="00BE5337"/>
    <w:rsid w:val="00BE58A7"/>
    <w:rsid w:val="00BF11FF"/>
    <w:rsid w:val="00BF2218"/>
    <w:rsid w:val="00C015C5"/>
    <w:rsid w:val="00C01BA3"/>
    <w:rsid w:val="00C0426B"/>
    <w:rsid w:val="00C045DF"/>
    <w:rsid w:val="00C05EEA"/>
    <w:rsid w:val="00C06CA6"/>
    <w:rsid w:val="00C07E7E"/>
    <w:rsid w:val="00C102AF"/>
    <w:rsid w:val="00C11600"/>
    <w:rsid w:val="00C163E1"/>
    <w:rsid w:val="00C16E39"/>
    <w:rsid w:val="00C205C9"/>
    <w:rsid w:val="00C21126"/>
    <w:rsid w:val="00C21179"/>
    <w:rsid w:val="00C21687"/>
    <w:rsid w:val="00C21F43"/>
    <w:rsid w:val="00C22272"/>
    <w:rsid w:val="00C22A1C"/>
    <w:rsid w:val="00C24B8B"/>
    <w:rsid w:val="00C26D43"/>
    <w:rsid w:val="00C2773B"/>
    <w:rsid w:val="00C43F0A"/>
    <w:rsid w:val="00C461C1"/>
    <w:rsid w:val="00C46548"/>
    <w:rsid w:val="00C53690"/>
    <w:rsid w:val="00C574D5"/>
    <w:rsid w:val="00C642DA"/>
    <w:rsid w:val="00C657D3"/>
    <w:rsid w:val="00C73F32"/>
    <w:rsid w:val="00C86EF2"/>
    <w:rsid w:val="00C87462"/>
    <w:rsid w:val="00C91807"/>
    <w:rsid w:val="00C94A9D"/>
    <w:rsid w:val="00C94EAD"/>
    <w:rsid w:val="00C95BEA"/>
    <w:rsid w:val="00CA180C"/>
    <w:rsid w:val="00CB22B2"/>
    <w:rsid w:val="00CB4028"/>
    <w:rsid w:val="00CB505D"/>
    <w:rsid w:val="00CC3EE2"/>
    <w:rsid w:val="00CC73BD"/>
    <w:rsid w:val="00CD7492"/>
    <w:rsid w:val="00CE1E78"/>
    <w:rsid w:val="00CE3A6B"/>
    <w:rsid w:val="00CE5548"/>
    <w:rsid w:val="00CE5C6D"/>
    <w:rsid w:val="00D00211"/>
    <w:rsid w:val="00D0354D"/>
    <w:rsid w:val="00D04551"/>
    <w:rsid w:val="00D06309"/>
    <w:rsid w:val="00D10A65"/>
    <w:rsid w:val="00D143C8"/>
    <w:rsid w:val="00D20FAF"/>
    <w:rsid w:val="00D23496"/>
    <w:rsid w:val="00D248DD"/>
    <w:rsid w:val="00D2748F"/>
    <w:rsid w:val="00D33EFF"/>
    <w:rsid w:val="00D351EA"/>
    <w:rsid w:val="00D36519"/>
    <w:rsid w:val="00D40288"/>
    <w:rsid w:val="00D41049"/>
    <w:rsid w:val="00D43403"/>
    <w:rsid w:val="00D446BF"/>
    <w:rsid w:val="00D447ED"/>
    <w:rsid w:val="00D5270B"/>
    <w:rsid w:val="00D56F8C"/>
    <w:rsid w:val="00D57E5B"/>
    <w:rsid w:val="00D60076"/>
    <w:rsid w:val="00D62E71"/>
    <w:rsid w:val="00D6430D"/>
    <w:rsid w:val="00D64D4D"/>
    <w:rsid w:val="00D660F7"/>
    <w:rsid w:val="00D66188"/>
    <w:rsid w:val="00D731F6"/>
    <w:rsid w:val="00D740CA"/>
    <w:rsid w:val="00D82690"/>
    <w:rsid w:val="00D832ED"/>
    <w:rsid w:val="00D845D0"/>
    <w:rsid w:val="00D85728"/>
    <w:rsid w:val="00D8698E"/>
    <w:rsid w:val="00D936B7"/>
    <w:rsid w:val="00D9402D"/>
    <w:rsid w:val="00D952F6"/>
    <w:rsid w:val="00D95481"/>
    <w:rsid w:val="00DA4546"/>
    <w:rsid w:val="00DA7D6D"/>
    <w:rsid w:val="00DB20E8"/>
    <w:rsid w:val="00DC3A0F"/>
    <w:rsid w:val="00DC5E74"/>
    <w:rsid w:val="00DC7A13"/>
    <w:rsid w:val="00DD0846"/>
    <w:rsid w:val="00DD6755"/>
    <w:rsid w:val="00DE0486"/>
    <w:rsid w:val="00DE148F"/>
    <w:rsid w:val="00DE332A"/>
    <w:rsid w:val="00DF02A4"/>
    <w:rsid w:val="00DF2997"/>
    <w:rsid w:val="00DF3812"/>
    <w:rsid w:val="00DF71B9"/>
    <w:rsid w:val="00E00174"/>
    <w:rsid w:val="00E10BC4"/>
    <w:rsid w:val="00E12B51"/>
    <w:rsid w:val="00E1415D"/>
    <w:rsid w:val="00E16BE1"/>
    <w:rsid w:val="00E17922"/>
    <w:rsid w:val="00E203CC"/>
    <w:rsid w:val="00E27236"/>
    <w:rsid w:val="00E323E9"/>
    <w:rsid w:val="00E34018"/>
    <w:rsid w:val="00E34491"/>
    <w:rsid w:val="00E437D2"/>
    <w:rsid w:val="00E44DC9"/>
    <w:rsid w:val="00E55751"/>
    <w:rsid w:val="00E60FB2"/>
    <w:rsid w:val="00E62FDE"/>
    <w:rsid w:val="00E65FE3"/>
    <w:rsid w:val="00E833FE"/>
    <w:rsid w:val="00E84331"/>
    <w:rsid w:val="00E85FE1"/>
    <w:rsid w:val="00EA2311"/>
    <w:rsid w:val="00EA5C1B"/>
    <w:rsid w:val="00EB2D4C"/>
    <w:rsid w:val="00EB3521"/>
    <w:rsid w:val="00EB36EF"/>
    <w:rsid w:val="00EB6F19"/>
    <w:rsid w:val="00EB7FA8"/>
    <w:rsid w:val="00EC11DC"/>
    <w:rsid w:val="00EC7BC3"/>
    <w:rsid w:val="00EC7CED"/>
    <w:rsid w:val="00ED7600"/>
    <w:rsid w:val="00EE398D"/>
    <w:rsid w:val="00EE44C4"/>
    <w:rsid w:val="00EF3562"/>
    <w:rsid w:val="00EF6073"/>
    <w:rsid w:val="00EF698B"/>
    <w:rsid w:val="00F01E2A"/>
    <w:rsid w:val="00F070A5"/>
    <w:rsid w:val="00F110C7"/>
    <w:rsid w:val="00F1362C"/>
    <w:rsid w:val="00F15028"/>
    <w:rsid w:val="00F213FE"/>
    <w:rsid w:val="00F23B81"/>
    <w:rsid w:val="00F308F6"/>
    <w:rsid w:val="00F378E9"/>
    <w:rsid w:val="00F378F2"/>
    <w:rsid w:val="00F414F1"/>
    <w:rsid w:val="00F419F4"/>
    <w:rsid w:val="00F42253"/>
    <w:rsid w:val="00F43734"/>
    <w:rsid w:val="00F45D3E"/>
    <w:rsid w:val="00F508B8"/>
    <w:rsid w:val="00F5587D"/>
    <w:rsid w:val="00F57B52"/>
    <w:rsid w:val="00F57CE2"/>
    <w:rsid w:val="00F57F4E"/>
    <w:rsid w:val="00F619DA"/>
    <w:rsid w:val="00F724B7"/>
    <w:rsid w:val="00F72CB1"/>
    <w:rsid w:val="00F740DA"/>
    <w:rsid w:val="00F747A1"/>
    <w:rsid w:val="00F74E3F"/>
    <w:rsid w:val="00F7770B"/>
    <w:rsid w:val="00F81722"/>
    <w:rsid w:val="00F8215E"/>
    <w:rsid w:val="00F824F5"/>
    <w:rsid w:val="00F82CA2"/>
    <w:rsid w:val="00F876CA"/>
    <w:rsid w:val="00F90FAB"/>
    <w:rsid w:val="00F9374D"/>
    <w:rsid w:val="00F945C9"/>
    <w:rsid w:val="00F94820"/>
    <w:rsid w:val="00FC28D7"/>
    <w:rsid w:val="00FC29B9"/>
    <w:rsid w:val="00FC6015"/>
    <w:rsid w:val="00FC6FD3"/>
    <w:rsid w:val="00FD189A"/>
    <w:rsid w:val="00FD1DB0"/>
    <w:rsid w:val="00FD287E"/>
    <w:rsid w:val="00FE01E9"/>
    <w:rsid w:val="00FE305C"/>
    <w:rsid w:val="00FE60FB"/>
    <w:rsid w:val="00FF0301"/>
    <w:rsid w:val="00FF04A1"/>
    <w:rsid w:val="00FF1A00"/>
    <w:rsid w:val="01F4FAF5"/>
    <w:rsid w:val="07685E88"/>
    <w:rsid w:val="084FAF42"/>
    <w:rsid w:val="088611E2"/>
    <w:rsid w:val="0A44A64A"/>
    <w:rsid w:val="0C353913"/>
    <w:rsid w:val="10711FC7"/>
    <w:rsid w:val="146C33B1"/>
    <w:rsid w:val="1D11B70C"/>
    <w:rsid w:val="1F4BF6E8"/>
    <w:rsid w:val="21AF36DF"/>
    <w:rsid w:val="22DD37F6"/>
    <w:rsid w:val="251A01B9"/>
    <w:rsid w:val="2F60A4C6"/>
    <w:rsid w:val="2F874F1A"/>
    <w:rsid w:val="31C17D48"/>
    <w:rsid w:val="3210F7D7"/>
    <w:rsid w:val="33E86725"/>
    <w:rsid w:val="3D5D853C"/>
    <w:rsid w:val="428E8963"/>
    <w:rsid w:val="4827E606"/>
    <w:rsid w:val="4EF5F99C"/>
    <w:rsid w:val="55874372"/>
    <w:rsid w:val="5B1762B2"/>
    <w:rsid w:val="5C7BCE05"/>
    <w:rsid w:val="5D02BD31"/>
    <w:rsid w:val="62640776"/>
    <w:rsid w:val="713A13F3"/>
    <w:rsid w:val="723EBF24"/>
    <w:rsid w:val="7346EB43"/>
    <w:rsid w:val="75ABA598"/>
    <w:rsid w:val="779AC3F1"/>
    <w:rsid w:val="782C255E"/>
    <w:rsid w:val="7C926D32"/>
    <w:rsid w:val="7DC340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C755C"/>
  <w15:chartTrackingRefBased/>
  <w15:docId w15:val="{4FA87BBF-9FC1-466E-A2E0-AA3AA5A0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51187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511870"/>
  </w:style>
  <w:style w:type="character" w:customStyle="1" w:styleId="eop">
    <w:name w:val="eop"/>
    <w:basedOn w:val="DefaultParagraphFont"/>
    <w:rsid w:val="00511870"/>
  </w:style>
  <w:style w:type="character" w:styleId="Mention">
    <w:name w:val="Mention"/>
    <w:basedOn w:val="DefaultParagraphFont"/>
    <w:uiPriority w:val="99"/>
    <w:unhideWhenUsed/>
    <w:rsid w:val="00A33899"/>
    <w:rPr>
      <w:color w:val="2B579A"/>
      <w:shd w:val="clear" w:color="auto" w:fill="E1DFDD"/>
    </w:rPr>
  </w:style>
  <w:style w:type="paragraph" w:styleId="Header">
    <w:name w:val="header"/>
    <w:basedOn w:val="Normal"/>
    <w:link w:val="HeaderChar"/>
    <w:uiPriority w:val="99"/>
    <w:semiHidden/>
    <w:unhideWhenUsed/>
    <w:rsid w:val="00DF71B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F71B9"/>
    <w:rPr>
      <w:rFonts w:ascii="Times New Roman" w:hAnsi="Times New Roman"/>
      <w:sz w:val="20"/>
    </w:rPr>
  </w:style>
  <w:style w:type="paragraph" w:styleId="Footer">
    <w:name w:val="footer"/>
    <w:basedOn w:val="Normal"/>
    <w:link w:val="FooterChar"/>
    <w:uiPriority w:val="99"/>
    <w:semiHidden/>
    <w:unhideWhenUsed/>
    <w:rsid w:val="00DF71B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F71B9"/>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qFormat/>
    <w:rsid w:val="00D41049"/>
    <w:rPr>
      <w:b/>
      <w:lang w:val="en-GB" w:eastAsia="en-US" w:bidi="ar-SA"/>
    </w:rPr>
  </w:style>
  <w:style w:type="paragraph" w:styleId="NormalWeb">
    <w:name w:val="Normal (Web)"/>
    <w:basedOn w:val="Normal"/>
    <w:uiPriority w:val="99"/>
    <w:rsid w:val="00D41049"/>
    <w:pPr>
      <w:spacing w:before="100" w:beforeAutospacing="1" w:after="100" w:afterAutospacing="1" w:line="240" w:lineRule="auto"/>
    </w:pPr>
    <w:rPr>
      <w:rFonts w:ascii="Times" w:eastAsia="SimSun" w:hAnsi="Times" w:cs="Times"/>
      <w:sz w:val="24"/>
      <w:szCs w:val="24"/>
    </w:rPr>
  </w:style>
  <w:style w:type="paragraph" w:styleId="Revision">
    <w:name w:val="Revision"/>
    <w:hidden/>
    <w:uiPriority w:val="99"/>
    <w:semiHidden/>
    <w:rsid w:val="00AD3E3F"/>
    <w:pPr>
      <w:spacing w:after="0" w:line="240" w:lineRule="auto"/>
    </w:pPr>
    <w:rPr>
      <w:rFonts w:ascii="Times New Roman" w:hAnsi="Times New Roman"/>
      <w:sz w:val="20"/>
    </w:rPr>
  </w:style>
  <w:style w:type="paragraph" w:styleId="BodyText">
    <w:name w:val="Body Text"/>
    <w:basedOn w:val="Normal"/>
    <w:link w:val="BodyTextChar"/>
    <w:uiPriority w:val="99"/>
    <w:rsid w:val="006D13F5"/>
    <w:pPr>
      <w:spacing w:after="120" w:line="240" w:lineRule="auto"/>
    </w:pPr>
    <w:rPr>
      <w:rFonts w:eastAsia="Times New Roman" w:cs="Times New Roman"/>
      <w:szCs w:val="20"/>
      <w:lang w:val="en-GB"/>
    </w:rPr>
  </w:style>
  <w:style w:type="character" w:customStyle="1" w:styleId="BodyTextChar">
    <w:name w:val="Body Text Char"/>
    <w:basedOn w:val="DefaultParagraphFont"/>
    <w:link w:val="BodyText"/>
    <w:uiPriority w:val="99"/>
    <w:rsid w:val="006D13F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3277">
      <w:bodyDiv w:val="1"/>
      <w:marLeft w:val="0"/>
      <w:marRight w:val="0"/>
      <w:marTop w:val="0"/>
      <w:marBottom w:val="0"/>
      <w:divBdr>
        <w:top w:val="none" w:sz="0" w:space="0" w:color="auto"/>
        <w:left w:val="none" w:sz="0" w:space="0" w:color="auto"/>
        <w:bottom w:val="none" w:sz="0" w:space="0" w:color="auto"/>
        <w:right w:val="none" w:sz="0" w:space="0" w:color="auto"/>
      </w:divBdr>
      <w:divsChild>
        <w:div w:id="1188719703">
          <w:marLeft w:val="0"/>
          <w:marRight w:val="0"/>
          <w:marTop w:val="0"/>
          <w:marBottom w:val="0"/>
          <w:divBdr>
            <w:top w:val="none" w:sz="0" w:space="0" w:color="auto"/>
            <w:left w:val="none" w:sz="0" w:space="0" w:color="auto"/>
            <w:bottom w:val="none" w:sz="0" w:space="0" w:color="auto"/>
            <w:right w:val="none" w:sz="0" w:space="0" w:color="auto"/>
          </w:divBdr>
          <w:divsChild>
            <w:div w:id="1785347175">
              <w:marLeft w:val="0"/>
              <w:marRight w:val="0"/>
              <w:marTop w:val="0"/>
              <w:marBottom w:val="0"/>
              <w:divBdr>
                <w:top w:val="none" w:sz="0" w:space="0" w:color="auto"/>
                <w:left w:val="none" w:sz="0" w:space="0" w:color="auto"/>
                <w:bottom w:val="none" w:sz="0" w:space="0" w:color="auto"/>
                <w:right w:val="none" w:sz="0" w:space="0" w:color="auto"/>
              </w:divBdr>
            </w:div>
            <w:div w:id="1979649235">
              <w:marLeft w:val="0"/>
              <w:marRight w:val="0"/>
              <w:marTop w:val="0"/>
              <w:marBottom w:val="0"/>
              <w:divBdr>
                <w:top w:val="none" w:sz="0" w:space="0" w:color="auto"/>
                <w:left w:val="none" w:sz="0" w:space="0" w:color="auto"/>
                <w:bottom w:val="none" w:sz="0" w:space="0" w:color="auto"/>
                <w:right w:val="none" w:sz="0" w:space="0" w:color="auto"/>
              </w:divBdr>
            </w:div>
          </w:divsChild>
        </w:div>
        <w:div w:id="1967731489">
          <w:marLeft w:val="0"/>
          <w:marRight w:val="0"/>
          <w:marTop w:val="0"/>
          <w:marBottom w:val="0"/>
          <w:divBdr>
            <w:top w:val="none" w:sz="0" w:space="0" w:color="auto"/>
            <w:left w:val="none" w:sz="0" w:space="0" w:color="auto"/>
            <w:bottom w:val="none" w:sz="0" w:space="0" w:color="auto"/>
            <w:right w:val="none" w:sz="0" w:space="0" w:color="auto"/>
          </w:divBdr>
          <w:divsChild>
            <w:div w:id="119618307">
              <w:marLeft w:val="0"/>
              <w:marRight w:val="0"/>
              <w:marTop w:val="0"/>
              <w:marBottom w:val="0"/>
              <w:divBdr>
                <w:top w:val="none" w:sz="0" w:space="0" w:color="auto"/>
                <w:left w:val="none" w:sz="0" w:space="0" w:color="auto"/>
                <w:bottom w:val="none" w:sz="0" w:space="0" w:color="auto"/>
                <w:right w:val="none" w:sz="0" w:space="0" w:color="auto"/>
              </w:divBdr>
            </w:div>
            <w:div w:id="76160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40556">
      <w:bodyDiv w:val="1"/>
      <w:marLeft w:val="0"/>
      <w:marRight w:val="0"/>
      <w:marTop w:val="0"/>
      <w:marBottom w:val="0"/>
      <w:divBdr>
        <w:top w:val="none" w:sz="0" w:space="0" w:color="auto"/>
        <w:left w:val="none" w:sz="0" w:space="0" w:color="auto"/>
        <w:bottom w:val="none" w:sz="0" w:space="0" w:color="auto"/>
        <w:right w:val="none" w:sz="0" w:space="0" w:color="auto"/>
      </w:divBdr>
    </w:div>
    <w:div w:id="1702634602">
      <w:bodyDiv w:val="1"/>
      <w:marLeft w:val="0"/>
      <w:marRight w:val="0"/>
      <w:marTop w:val="0"/>
      <w:marBottom w:val="0"/>
      <w:divBdr>
        <w:top w:val="none" w:sz="0" w:space="0" w:color="auto"/>
        <w:left w:val="none" w:sz="0" w:space="0" w:color="auto"/>
        <w:bottom w:val="none" w:sz="0" w:space="0" w:color="auto"/>
        <w:right w:val="none" w:sz="0" w:space="0" w:color="auto"/>
      </w:divBdr>
      <w:divsChild>
        <w:div w:id="69426115">
          <w:marLeft w:val="0"/>
          <w:marRight w:val="0"/>
          <w:marTop w:val="0"/>
          <w:marBottom w:val="0"/>
          <w:divBdr>
            <w:top w:val="none" w:sz="0" w:space="0" w:color="auto"/>
            <w:left w:val="none" w:sz="0" w:space="0" w:color="auto"/>
            <w:bottom w:val="none" w:sz="0" w:space="0" w:color="auto"/>
            <w:right w:val="none" w:sz="0" w:space="0" w:color="auto"/>
          </w:divBdr>
        </w:div>
        <w:div w:id="828597633">
          <w:marLeft w:val="0"/>
          <w:marRight w:val="0"/>
          <w:marTop w:val="0"/>
          <w:marBottom w:val="0"/>
          <w:divBdr>
            <w:top w:val="none" w:sz="0" w:space="0" w:color="auto"/>
            <w:left w:val="none" w:sz="0" w:space="0" w:color="auto"/>
            <w:bottom w:val="none" w:sz="0" w:space="0" w:color="auto"/>
            <w:right w:val="none" w:sz="0" w:space="0" w:color="auto"/>
          </w:divBdr>
          <w:divsChild>
            <w:div w:id="2089039166">
              <w:marLeft w:val="0"/>
              <w:marRight w:val="0"/>
              <w:marTop w:val="0"/>
              <w:marBottom w:val="0"/>
              <w:divBdr>
                <w:top w:val="none" w:sz="0" w:space="0" w:color="auto"/>
                <w:left w:val="none" w:sz="0" w:space="0" w:color="auto"/>
                <w:bottom w:val="none" w:sz="0" w:space="0" w:color="auto"/>
                <w:right w:val="none" w:sz="0" w:space="0" w:color="auto"/>
              </w:divBdr>
            </w:div>
            <w:div w:id="2122845099">
              <w:marLeft w:val="0"/>
              <w:marRight w:val="0"/>
              <w:marTop w:val="0"/>
              <w:marBottom w:val="0"/>
              <w:divBdr>
                <w:top w:val="none" w:sz="0" w:space="0" w:color="auto"/>
                <w:left w:val="none" w:sz="0" w:space="0" w:color="auto"/>
                <w:bottom w:val="none" w:sz="0" w:space="0" w:color="auto"/>
                <w:right w:val="none" w:sz="0" w:space="0" w:color="auto"/>
              </w:divBdr>
            </w:div>
          </w:divsChild>
        </w:div>
        <w:div w:id="1238247060">
          <w:marLeft w:val="0"/>
          <w:marRight w:val="0"/>
          <w:marTop w:val="0"/>
          <w:marBottom w:val="0"/>
          <w:divBdr>
            <w:top w:val="none" w:sz="0" w:space="0" w:color="auto"/>
            <w:left w:val="none" w:sz="0" w:space="0" w:color="auto"/>
            <w:bottom w:val="none" w:sz="0" w:space="0" w:color="auto"/>
            <w:right w:val="none" w:sz="0" w:space="0" w:color="auto"/>
          </w:divBdr>
        </w:div>
        <w:div w:id="1362826430">
          <w:marLeft w:val="0"/>
          <w:marRight w:val="0"/>
          <w:marTop w:val="0"/>
          <w:marBottom w:val="0"/>
          <w:divBdr>
            <w:top w:val="none" w:sz="0" w:space="0" w:color="auto"/>
            <w:left w:val="none" w:sz="0" w:space="0" w:color="auto"/>
            <w:bottom w:val="none" w:sz="0" w:space="0" w:color="auto"/>
            <w:right w:val="none" w:sz="0" w:space="0" w:color="auto"/>
          </w:divBdr>
          <w:divsChild>
            <w:div w:id="294675932">
              <w:marLeft w:val="0"/>
              <w:marRight w:val="0"/>
              <w:marTop w:val="0"/>
              <w:marBottom w:val="0"/>
              <w:divBdr>
                <w:top w:val="none" w:sz="0" w:space="0" w:color="auto"/>
                <w:left w:val="none" w:sz="0" w:space="0" w:color="auto"/>
                <w:bottom w:val="none" w:sz="0" w:space="0" w:color="auto"/>
                <w:right w:val="none" w:sz="0" w:space="0" w:color="auto"/>
              </w:divBdr>
            </w:div>
            <w:div w:id="1363945737">
              <w:marLeft w:val="0"/>
              <w:marRight w:val="0"/>
              <w:marTop w:val="0"/>
              <w:marBottom w:val="0"/>
              <w:divBdr>
                <w:top w:val="none" w:sz="0" w:space="0" w:color="auto"/>
                <w:left w:val="none" w:sz="0" w:space="0" w:color="auto"/>
                <w:bottom w:val="none" w:sz="0" w:space="0" w:color="auto"/>
                <w:right w:val="none" w:sz="0" w:space="0" w:color="auto"/>
              </w:divBdr>
            </w:div>
            <w:div w:id="1741050562">
              <w:marLeft w:val="0"/>
              <w:marRight w:val="0"/>
              <w:marTop w:val="0"/>
              <w:marBottom w:val="0"/>
              <w:divBdr>
                <w:top w:val="none" w:sz="0" w:space="0" w:color="auto"/>
                <w:left w:val="none" w:sz="0" w:space="0" w:color="auto"/>
                <w:bottom w:val="none" w:sz="0" w:space="0" w:color="auto"/>
                <w:right w:val="none" w:sz="0" w:space="0" w:color="auto"/>
              </w:divBdr>
            </w:div>
            <w:div w:id="2116974829">
              <w:marLeft w:val="0"/>
              <w:marRight w:val="0"/>
              <w:marTop w:val="0"/>
              <w:marBottom w:val="0"/>
              <w:divBdr>
                <w:top w:val="none" w:sz="0" w:space="0" w:color="auto"/>
                <w:left w:val="none" w:sz="0" w:space="0" w:color="auto"/>
                <w:bottom w:val="none" w:sz="0" w:space="0" w:color="auto"/>
                <w:right w:val="none" w:sz="0" w:space="0" w:color="auto"/>
              </w:divBdr>
            </w:div>
          </w:divsChild>
        </w:div>
        <w:div w:id="1414859587">
          <w:marLeft w:val="0"/>
          <w:marRight w:val="0"/>
          <w:marTop w:val="0"/>
          <w:marBottom w:val="0"/>
          <w:divBdr>
            <w:top w:val="none" w:sz="0" w:space="0" w:color="auto"/>
            <w:left w:val="none" w:sz="0" w:space="0" w:color="auto"/>
            <w:bottom w:val="none" w:sz="0" w:space="0" w:color="auto"/>
            <w:right w:val="none" w:sz="0" w:space="0" w:color="auto"/>
          </w:divBdr>
          <w:divsChild>
            <w:div w:id="404649059">
              <w:marLeft w:val="0"/>
              <w:marRight w:val="0"/>
              <w:marTop w:val="0"/>
              <w:marBottom w:val="0"/>
              <w:divBdr>
                <w:top w:val="none" w:sz="0" w:space="0" w:color="auto"/>
                <w:left w:val="none" w:sz="0" w:space="0" w:color="auto"/>
                <w:bottom w:val="none" w:sz="0" w:space="0" w:color="auto"/>
                <w:right w:val="none" w:sz="0" w:space="0" w:color="auto"/>
              </w:divBdr>
            </w:div>
            <w:div w:id="71847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5AIRPNAIUNRU-1328258698-22783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https://nokia.sharepoint.com/sites/c5g/5gradio/_layouts/15/DocIdRedir.aspx?ID=5AIRPNAIUNRU-1328258698-22783</Url>
      <Description>5AIRPNAIUNRU-1328258698-22783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purl.org/dc/terms/"/>
    <ds:schemaRef ds:uri="3b34c8f0-1ef5-4d1e-bb66-517ce7fe7356"/>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 ds:uri="71c5aaf6-e6ce-465b-b873-5148d2a4c10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944</TotalTime>
  <Pages>1</Pages>
  <Words>2304</Words>
  <Characters>13139</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15413</CharactersWithSpaces>
  <SharedDoc>false</SharedDoc>
  <HLinks>
    <vt:vector size="42" baseType="variant">
      <vt:variant>
        <vt:i4>1376304</vt:i4>
      </vt:variant>
      <vt:variant>
        <vt:i4>86</vt:i4>
      </vt:variant>
      <vt:variant>
        <vt:i4>0</vt:i4>
      </vt:variant>
      <vt:variant>
        <vt:i4>5</vt:i4>
      </vt:variant>
      <vt:variant>
        <vt:lpwstr/>
      </vt:variant>
      <vt:variant>
        <vt:lpwstr>_Toc135075343</vt:lpwstr>
      </vt:variant>
      <vt:variant>
        <vt:i4>1376304</vt:i4>
      </vt:variant>
      <vt:variant>
        <vt:i4>83</vt:i4>
      </vt:variant>
      <vt:variant>
        <vt:i4>0</vt:i4>
      </vt:variant>
      <vt:variant>
        <vt:i4>5</vt:i4>
      </vt:variant>
      <vt:variant>
        <vt:lpwstr/>
      </vt:variant>
      <vt:variant>
        <vt:lpwstr>_Toc135075342</vt:lpwstr>
      </vt:variant>
      <vt:variant>
        <vt:i4>1376304</vt:i4>
      </vt:variant>
      <vt:variant>
        <vt:i4>80</vt:i4>
      </vt:variant>
      <vt:variant>
        <vt:i4>0</vt:i4>
      </vt:variant>
      <vt:variant>
        <vt:i4>5</vt:i4>
      </vt:variant>
      <vt:variant>
        <vt:lpwstr/>
      </vt:variant>
      <vt:variant>
        <vt:lpwstr>_Toc135075340</vt:lpwstr>
      </vt:variant>
      <vt:variant>
        <vt:i4>1179696</vt:i4>
      </vt:variant>
      <vt:variant>
        <vt:i4>77</vt:i4>
      </vt:variant>
      <vt:variant>
        <vt:i4>0</vt:i4>
      </vt:variant>
      <vt:variant>
        <vt:i4>5</vt:i4>
      </vt:variant>
      <vt:variant>
        <vt:lpwstr/>
      </vt:variant>
      <vt:variant>
        <vt:lpwstr>_Toc135075339</vt:lpwstr>
      </vt:variant>
      <vt:variant>
        <vt:i4>1179696</vt:i4>
      </vt:variant>
      <vt:variant>
        <vt:i4>74</vt:i4>
      </vt:variant>
      <vt:variant>
        <vt:i4>0</vt:i4>
      </vt:variant>
      <vt:variant>
        <vt:i4>5</vt:i4>
      </vt:variant>
      <vt:variant>
        <vt:lpwstr/>
      </vt:variant>
      <vt:variant>
        <vt:lpwstr>_Toc135075338</vt:lpwstr>
      </vt:variant>
      <vt:variant>
        <vt:i4>1179696</vt:i4>
      </vt:variant>
      <vt:variant>
        <vt:i4>71</vt:i4>
      </vt:variant>
      <vt:variant>
        <vt:i4>0</vt:i4>
      </vt:variant>
      <vt:variant>
        <vt:i4>5</vt:i4>
      </vt:variant>
      <vt:variant>
        <vt:lpwstr/>
      </vt:variant>
      <vt:variant>
        <vt:lpwstr>_Toc135075337</vt:lpwstr>
      </vt:variant>
      <vt:variant>
        <vt:i4>1179696</vt:i4>
      </vt:variant>
      <vt:variant>
        <vt:i4>68</vt:i4>
      </vt:variant>
      <vt:variant>
        <vt:i4>0</vt:i4>
      </vt:variant>
      <vt:variant>
        <vt:i4>5</vt:i4>
      </vt:variant>
      <vt:variant>
        <vt:lpwstr/>
      </vt:variant>
      <vt:variant>
        <vt:lpwstr>_Toc135075336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Roberto Maldonado</cp:lastModifiedBy>
  <cp:revision>319</cp:revision>
  <dcterms:created xsi:type="dcterms:W3CDTF">2023-05-02T01:39:00Z</dcterms:created>
  <dcterms:modified xsi:type="dcterms:W3CDTF">2023-05-16T03:54:00Z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df90d212-86e9-404d-9328-5c56cee5c433</vt:lpwstr>
  </property>
  <property fmtid="{D5CDD505-2E9C-101B-9397-08002B2CF9AE}" pid="11" name="MediaServiceImageTags">
    <vt:lpwstr/>
  </property>
</Properties>
</file>